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9B7" w:rsidRDefault="00617D25" w:rsidP="00EE2927">
      <w:pPr>
        <w:pStyle w:val="Title"/>
      </w:pPr>
      <w:r>
        <w:t>D</w:t>
      </w:r>
      <w:r w:rsidR="00EE2927">
        <w:t>ata Analysis with</w:t>
      </w:r>
      <w:r>
        <w:t>in</w:t>
      </w:r>
      <w:r w:rsidR="00EE2927">
        <w:t xml:space="preserve"> DefinitiveTCM</w:t>
      </w:r>
    </w:p>
    <w:p w:rsidR="00EE2927" w:rsidRDefault="00EE2927" w:rsidP="00EE2927">
      <w:pPr>
        <w:pStyle w:val="Heading1"/>
      </w:pPr>
      <w:r>
        <w:t>Introduction</w:t>
      </w:r>
    </w:p>
    <w:p w:rsidR="00EE2927" w:rsidRDefault="00EE2927" w:rsidP="00EE2927">
      <w:r>
        <w:t xml:space="preserve">The analysis </w:t>
      </w:r>
      <w:r w:rsidR="00E449F2">
        <w:t>component</w:t>
      </w:r>
      <w:r>
        <w:t xml:space="preserve"> in the Definitive</w:t>
      </w:r>
      <w:r w:rsidR="00E449F2">
        <w:t xml:space="preserve">TCM code is split among different </w:t>
      </w:r>
      <w:r w:rsidR="005734C1">
        <w:t>functions</w:t>
      </w:r>
      <w:r w:rsidR="00E449F2">
        <w:t xml:space="preserve">, mirroring almost exactly the files in the original parmerror2 suite of codes. The primary differences are restructurings to: 1) integrate the code into a GUI application, and 2) utilize Object-Oriented Programming paradigms. The </w:t>
      </w:r>
      <w:r w:rsidR="005734C1">
        <w:t>equivalent code locations</w:t>
      </w:r>
      <w:r w:rsidR="00E449F2">
        <w:t xml:space="preserve"> are roughly: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50"/>
      </w:tblGrid>
      <w:tr w:rsidR="00A10883" w:rsidTr="00A10883">
        <w:tc>
          <w:tcPr>
            <w:tcW w:w="9350" w:type="dxa"/>
          </w:tcPr>
          <w:p w:rsidR="00A10883" w:rsidRDefault="00A10883" w:rsidP="00A10883">
            <w:pPr>
              <w:pStyle w:val="Caption"/>
              <w:spacing w:after="0"/>
            </w:pPr>
            <w:bookmarkStart w:id="0" w:name="_Ref479766415"/>
            <w:r>
              <w:t xml:space="preserve">Table </w:t>
            </w:r>
            <w:fldSimple w:instr=" SEQ Table \* ARABIC ">
              <w:r>
                <w:rPr>
                  <w:noProof/>
                </w:rPr>
                <w:t>1</w:t>
              </w:r>
            </w:fldSimple>
            <w:bookmarkEnd w:id="0"/>
            <w:r w:rsidR="006D1FBF">
              <w:t xml:space="preserve"> </w:t>
            </w:r>
            <w:r>
              <w:t>–</w:t>
            </w:r>
            <w:r w:rsidR="006D1FBF">
              <w:t xml:space="preserve"> </w:t>
            </w:r>
            <w:r>
              <w:t>Correlation between the Original TCM Files and the DefinitiveTCM Code</w:t>
            </w:r>
          </w:p>
        </w:tc>
      </w:tr>
      <w:tr w:rsidR="00A10883" w:rsidTr="00A10883">
        <w:tc>
          <w:tcPr>
            <w:tcW w:w="9350" w:type="dxa"/>
          </w:tcPr>
          <w:tbl>
            <w:tblPr>
              <w:tblStyle w:val="PlainTable4"/>
              <w:tblW w:w="0" w:type="auto"/>
              <w:tblLook w:val="0620" w:firstRow="1" w:lastRow="0" w:firstColumn="0" w:lastColumn="0" w:noHBand="1" w:noVBand="1"/>
            </w:tblPr>
            <w:tblGrid>
              <w:gridCol w:w="1620"/>
              <w:gridCol w:w="3389"/>
              <w:gridCol w:w="2371"/>
              <w:gridCol w:w="1960"/>
            </w:tblGrid>
            <w:tr w:rsidR="00A10883" w:rsidRPr="005041EE" w:rsidTr="00A10883">
              <w:trPr>
                <w:cnfStyle w:val="100000000000" w:firstRow="1" w:lastRow="0" w:firstColumn="0" w:lastColumn="0" w:oddVBand="0" w:evenVBand="0" w:oddHBand="0" w:evenHBand="0" w:firstRowFirstColumn="0" w:firstRowLastColumn="0" w:lastRowFirstColumn="0" w:lastRowLastColumn="0"/>
              </w:trPr>
              <w:tc>
                <w:tcPr>
                  <w:tcW w:w="1620" w:type="dxa"/>
                  <w:tcBorders>
                    <w:top w:val="single" w:sz="12" w:space="0" w:color="auto"/>
                  </w:tcBorders>
                </w:tcPr>
                <w:p w:rsidR="00A10883" w:rsidRPr="005041EE" w:rsidRDefault="00A10883" w:rsidP="00A10883"/>
              </w:tc>
              <w:tc>
                <w:tcPr>
                  <w:tcW w:w="7720" w:type="dxa"/>
                  <w:gridSpan w:val="3"/>
                  <w:tcBorders>
                    <w:top w:val="single" w:sz="12" w:space="0" w:color="auto"/>
                  </w:tcBorders>
                </w:tcPr>
                <w:p w:rsidR="00A10883" w:rsidRPr="005041EE" w:rsidRDefault="00A10883" w:rsidP="00A10883">
                  <w:pPr>
                    <w:jc w:val="center"/>
                  </w:pPr>
                  <w:r w:rsidRPr="005041EE">
                    <w:t>Definitive TCM</w:t>
                  </w:r>
                </w:p>
              </w:tc>
            </w:tr>
            <w:tr w:rsidR="00A10883" w:rsidRPr="005041EE" w:rsidTr="00A10883">
              <w:tc>
                <w:tcPr>
                  <w:tcW w:w="1620" w:type="dxa"/>
                  <w:tcBorders>
                    <w:bottom w:val="single" w:sz="6" w:space="0" w:color="auto"/>
                  </w:tcBorders>
                </w:tcPr>
                <w:p w:rsidR="00A10883" w:rsidRPr="005041EE" w:rsidRDefault="00A10883" w:rsidP="00A10883">
                  <w:pPr>
                    <w:jc w:val="left"/>
                    <w:rPr>
                      <w:b/>
                    </w:rPr>
                  </w:pPr>
                  <w:r w:rsidRPr="005041EE">
                    <w:rPr>
                      <w:b/>
                    </w:rPr>
                    <w:t>Original File</w:t>
                  </w:r>
                </w:p>
              </w:tc>
              <w:tc>
                <w:tcPr>
                  <w:tcW w:w="3389" w:type="dxa"/>
                  <w:tcBorders>
                    <w:top w:val="single" w:sz="6" w:space="0" w:color="auto"/>
                    <w:bottom w:val="single" w:sz="6" w:space="0" w:color="auto"/>
                  </w:tcBorders>
                </w:tcPr>
                <w:p w:rsidR="00A10883" w:rsidRPr="005041EE" w:rsidRDefault="00A10883" w:rsidP="00A10883">
                  <w:pPr>
                    <w:jc w:val="left"/>
                    <w:rPr>
                      <w:b/>
                    </w:rPr>
                  </w:pPr>
                  <w:r w:rsidRPr="005041EE">
                    <w:rPr>
                      <w:b/>
                    </w:rPr>
                    <w:t>New File</w:t>
                  </w:r>
                  <w:r>
                    <w:rPr>
                      <w:b/>
                    </w:rPr>
                    <w:t>(s)</w:t>
                  </w:r>
                </w:p>
              </w:tc>
              <w:tc>
                <w:tcPr>
                  <w:tcW w:w="2371" w:type="dxa"/>
                  <w:tcBorders>
                    <w:top w:val="single" w:sz="6" w:space="0" w:color="auto"/>
                    <w:bottom w:val="single" w:sz="6" w:space="0" w:color="auto"/>
                  </w:tcBorders>
                </w:tcPr>
                <w:p w:rsidR="00A10883" w:rsidRPr="005041EE" w:rsidRDefault="00A10883" w:rsidP="00A10883">
                  <w:pPr>
                    <w:jc w:val="left"/>
                    <w:rPr>
                      <w:b/>
                    </w:rPr>
                  </w:pPr>
                  <w:r w:rsidRPr="005041EE">
                    <w:rPr>
                      <w:b/>
                    </w:rPr>
                    <w:t>Function Name</w:t>
                  </w:r>
                </w:p>
              </w:tc>
              <w:tc>
                <w:tcPr>
                  <w:tcW w:w="1960" w:type="dxa"/>
                  <w:tcBorders>
                    <w:top w:val="single" w:sz="6" w:space="0" w:color="auto"/>
                    <w:bottom w:val="single" w:sz="6" w:space="0" w:color="auto"/>
                  </w:tcBorders>
                </w:tcPr>
                <w:p w:rsidR="00A10883" w:rsidRPr="005041EE" w:rsidRDefault="00A10883" w:rsidP="00A10883">
                  <w:pPr>
                    <w:jc w:val="left"/>
                    <w:rPr>
                      <w:b/>
                    </w:rPr>
                  </w:pPr>
                  <w:r>
                    <w:rPr>
                      <w:b/>
                    </w:rPr>
                    <w:t>Line Numbers*</w:t>
                  </w:r>
                </w:p>
              </w:tc>
            </w:tr>
            <w:tr w:rsidR="00A10883" w:rsidTr="00A10883">
              <w:tc>
                <w:tcPr>
                  <w:tcW w:w="1620" w:type="dxa"/>
                  <w:tcBorders>
                    <w:top w:val="single" w:sz="6" w:space="0" w:color="auto"/>
                  </w:tcBorders>
                </w:tcPr>
                <w:p w:rsidR="00A10883" w:rsidRPr="005734C1" w:rsidRDefault="00A10883" w:rsidP="00A10883">
                  <w:pPr>
                    <w:spacing w:line="360" w:lineRule="auto"/>
                    <w:jc w:val="left"/>
                  </w:pPr>
                  <w:r w:rsidRPr="005734C1">
                    <w:t>jacobian</w:t>
                  </w:r>
                  <w:r>
                    <w:t>est.m</w:t>
                  </w:r>
                </w:p>
              </w:tc>
              <w:tc>
                <w:tcPr>
                  <w:tcW w:w="3389" w:type="dxa"/>
                  <w:tcBorders>
                    <w:top w:val="single" w:sz="6" w:space="0" w:color="auto"/>
                  </w:tcBorders>
                </w:tcPr>
                <w:p w:rsidR="00A10883" w:rsidRDefault="00A10883" w:rsidP="00A10883">
                  <w:pPr>
                    <w:spacing w:line="360" w:lineRule="auto"/>
                    <w:jc w:val="left"/>
                  </w:pPr>
                  <w:r>
                    <w:t>Analysis/ThermalWaveNumbers.m</w:t>
                  </w:r>
                </w:p>
              </w:tc>
              <w:tc>
                <w:tcPr>
                  <w:tcW w:w="2371" w:type="dxa"/>
                  <w:tcBorders>
                    <w:top w:val="single" w:sz="6" w:space="0" w:color="auto"/>
                  </w:tcBorders>
                </w:tcPr>
                <w:p w:rsidR="00A10883" w:rsidRDefault="00A10883" w:rsidP="00A10883">
                  <w:pPr>
                    <w:spacing w:line="360" w:lineRule="auto"/>
                    <w:jc w:val="left"/>
                  </w:pPr>
                  <w:r>
                    <w:t>JacobianEstimation()</w:t>
                  </w:r>
                </w:p>
              </w:tc>
              <w:tc>
                <w:tcPr>
                  <w:tcW w:w="1960" w:type="dxa"/>
                  <w:tcBorders>
                    <w:top w:val="single" w:sz="6" w:space="0" w:color="auto"/>
                  </w:tcBorders>
                </w:tcPr>
                <w:p w:rsidR="00A10883" w:rsidRDefault="00A10883" w:rsidP="00A10883">
                  <w:pPr>
                    <w:spacing w:line="360" w:lineRule="auto"/>
                    <w:jc w:val="left"/>
                  </w:pPr>
                  <w:r>
                    <w:t>330–473</w:t>
                  </w:r>
                </w:p>
              </w:tc>
            </w:tr>
            <w:tr w:rsidR="00A10883" w:rsidTr="00A10883">
              <w:tc>
                <w:tcPr>
                  <w:tcW w:w="1620" w:type="dxa"/>
                </w:tcPr>
                <w:p w:rsidR="00A10883" w:rsidRDefault="00A10883" w:rsidP="00A10883">
                  <w:pPr>
                    <w:spacing w:line="360" w:lineRule="auto"/>
                    <w:jc w:val="left"/>
                  </w:pPr>
                  <w:r>
                    <w:t>loaddata.m</w:t>
                  </w:r>
                </w:p>
              </w:tc>
              <w:tc>
                <w:tcPr>
                  <w:tcW w:w="3389" w:type="dxa"/>
                </w:tcPr>
                <w:p w:rsidR="00A10883" w:rsidRDefault="00A10883" w:rsidP="00A10883">
                  <w:pPr>
                    <w:jc w:val="left"/>
                  </w:pPr>
                  <w:r w:rsidRPr="005734C1">
                    <w:t>Analysis</w:t>
                  </w:r>
                  <w:r>
                    <w:t>/FitTCMData.m</w:t>
                  </w:r>
                </w:p>
                <w:p w:rsidR="00A10883" w:rsidRPr="005734C1" w:rsidRDefault="00A10883" w:rsidP="00A10883">
                  <w:pPr>
                    <w:jc w:val="left"/>
                  </w:pPr>
                  <w:r>
                    <w:t>Analysis/ThermalWaveNumbers.m</w:t>
                  </w:r>
                </w:p>
              </w:tc>
              <w:tc>
                <w:tcPr>
                  <w:tcW w:w="2371" w:type="dxa"/>
                </w:tcPr>
                <w:p w:rsidR="00A10883" w:rsidRPr="00D018AA" w:rsidRDefault="00A10883" w:rsidP="00A10883">
                  <w:pPr>
                    <w:rPr>
                      <w:rFonts w:cs="Cambria Math"/>
                      <w:i/>
                      <w:color w:val="A6A6A6" w:themeColor="background1" w:themeShade="A6"/>
                    </w:rPr>
                  </w:pPr>
                  <w:r w:rsidRPr="00D018AA">
                    <w:rPr>
                      <w:rFonts w:cs="Cambria Math"/>
                      <w:i/>
                      <w:color w:val="A6A6A6" w:themeColor="background1" w:themeShade="A6"/>
                    </w:rPr>
                    <w:t>n/a</w:t>
                  </w:r>
                </w:p>
                <w:p w:rsidR="00A10883" w:rsidRDefault="00A10883" w:rsidP="00A10883">
                  <w:pPr>
                    <w:spacing w:line="360" w:lineRule="auto"/>
                    <w:jc w:val="left"/>
                  </w:pPr>
                  <w:r>
                    <w:t>Preformatting()</w:t>
                  </w:r>
                </w:p>
              </w:tc>
              <w:tc>
                <w:tcPr>
                  <w:tcW w:w="1960" w:type="dxa"/>
                </w:tcPr>
                <w:p w:rsidR="00A10883" w:rsidRDefault="00A10883" w:rsidP="00A10883">
                  <w:pPr>
                    <w:jc w:val="left"/>
                  </w:pPr>
                  <w:r>
                    <w:t>133, 212–215</w:t>
                  </w:r>
                </w:p>
                <w:p w:rsidR="00A10883" w:rsidRPr="005734C1" w:rsidRDefault="00A10883" w:rsidP="00A10883">
                  <w:pPr>
                    <w:jc w:val="left"/>
                  </w:pPr>
                  <w:r>
                    <w:t>475–515</w:t>
                  </w:r>
                </w:p>
              </w:tc>
            </w:tr>
            <w:tr w:rsidR="00A10883" w:rsidTr="00A10883">
              <w:tc>
                <w:tcPr>
                  <w:tcW w:w="1620" w:type="dxa"/>
                </w:tcPr>
                <w:p w:rsidR="00A10883" w:rsidRDefault="00A10883" w:rsidP="00A10883">
                  <w:pPr>
                    <w:spacing w:line="360" w:lineRule="auto"/>
                    <w:jc w:val="left"/>
                  </w:pPr>
                  <w:r>
                    <w:t>parmerror2.m</w:t>
                  </w:r>
                </w:p>
              </w:tc>
              <w:tc>
                <w:tcPr>
                  <w:tcW w:w="3389" w:type="dxa"/>
                </w:tcPr>
                <w:p w:rsidR="00A10883" w:rsidRDefault="00A10883" w:rsidP="00A10883">
                  <w:r>
                    <w:t>Analysis/FitTCMData.m</w:t>
                  </w:r>
                </w:p>
                <w:p w:rsidR="00A10883" w:rsidRDefault="00A10883" w:rsidP="00A10883">
                  <w:pPr>
                    <w:spacing w:line="360" w:lineRule="auto"/>
                    <w:jc w:val="left"/>
                  </w:pPr>
                  <w:r>
                    <w:t>Resources/Preferences.ini</w:t>
                  </w:r>
                </w:p>
              </w:tc>
              <w:tc>
                <w:tcPr>
                  <w:tcW w:w="2371" w:type="dxa"/>
                </w:tcPr>
                <w:p w:rsidR="00A10883" w:rsidRDefault="00A10883" w:rsidP="00A10883">
                  <w:pPr>
                    <w:rPr>
                      <w:rFonts w:cs="Cambria Math"/>
                      <w:i/>
                      <w:color w:val="A6A6A6" w:themeColor="background1" w:themeShade="A6"/>
                    </w:rPr>
                  </w:pPr>
                  <w:r w:rsidRPr="00D018AA">
                    <w:rPr>
                      <w:rFonts w:cs="Cambria Math"/>
                      <w:i/>
                      <w:color w:val="A6A6A6" w:themeColor="background1" w:themeShade="A6"/>
                    </w:rPr>
                    <w:t>n/a</w:t>
                  </w:r>
                </w:p>
                <w:p w:rsidR="00A10883" w:rsidRPr="00D018AA" w:rsidRDefault="00A10883" w:rsidP="00A10883">
                  <w:pPr>
                    <w:jc w:val="left"/>
                    <w:rPr>
                      <w:rFonts w:cs="Cambria Math"/>
                      <w:i/>
                      <w:color w:val="A6A6A6" w:themeColor="background1" w:themeShade="A6"/>
                      <w:sz w:val="18"/>
                    </w:rPr>
                  </w:pPr>
                  <w:r w:rsidRPr="00D018AA">
                    <w:rPr>
                      <w:rFonts w:cs="Cambria Math"/>
                      <w:i/>
                      <w:color w:val="A6A6A6" w:themeColor="background1" w:themeShade="A6"/>
                    </w:rPr>
                    <w:t>n/a</w:t>
                  </w:r>
                </w:p>
              </w:tc>
              <w:tc>
                <w:tcPr>
                  <w:tcW w:w="1960" w:type="dxa"/>
                </w:tcPr>
                <w:p w:rsidR="00A10883" w:rsidRDefault="009C2523" w:rsidP="00A10883">
                  <w:r>
                    <w:t>148–210, 217–231</w:t>
                  </w:r>
                  <w:bookmarkStart w:id="1" w:name="_GoBack"/>
                  <w:bookmarkEnd w:id="1"/>
                </w:p>
                <w:p w:rsidR="00A10883" w:rsidRDefault="00A10883" w:rsidP="00A10883">
                  <w:pPr>
                    <w:spacing w:line="360" w:lineRule="auto"/>
                    <w:jc w:val="left"/>
                  </w:pPr>
                  <w:r>
                    <w:t>16–27</w:t>
                  </w:r>
                </w:p>
              </w:tc>
            </w:tr>
            <w:tr w:rsidR="00A10883" w:rsidTr="00A10883">
              <w:tc>
                <w:tcPr>
                  <w:tcW w:w="1620" w:type="dxa"/>
                </w:tcPr>
                <w:p w:rsidR="00A10883" w:rsidRDefault="00A10883" w:rsidP="00A10883">
                  <w:pPr>
                    <w:spacing w:line="360" w:lineRule="auto"/>
                    <w:jc w:val="left"/>
                  </w:pPr>
                  <w:r>
                    <w:t>parmerrorss.m</w:t>
                  </w:r>
                </w:p>
              </w:tc>
              <w:tc>
                <w:tcPr>
                  <w:tcW w:w="3389" w:type="dxa"/>
                </w:tcPr>
                <w:p w:rsidR="00A10883" w:rsidRDefault="00A10883" w:rsidP="00A10883">
                  <w:pPr>
                    <w:spacing w:line="360" w:lineRule="auto"/>
                    <w:jc w:val="left"/>
                  </w:pPr>
                  <w:r>
                    <w:t>Analysis/ThermalWaveNumbers.m</w:t>
                  </w:r>
                </w:p>
              </w:tc>
              <w:tc>
                <w:tcPr>
                  <w:tcW w:w="2371" w:type="dxa"/>
                </w:tcPr>
                <w:p w:rsidR="00A10883" w:rsidRDefault="00A10883" w:rsidP="00A10883">
                  <w:pPr>
                    <w:spacing w:line="360" w:lineRule="auto"/>
                    <w:jc w:val="left"/>
                  </w:pPr>
                  <w:r w:rsidRPr="00E449F2">
                    <w:t>GoodnessOfFit</w:t>
                  </w:r>
                  <w:r>
                    <w:t>()</w:t>
                  </w:r>
                </w:p>
              </w:tc>
              <w:tc>
                <w:tcPr>
                  <w:tcW w:w="1960" w:type="dxa"/>
                </w:tcPr>
                <w:p w:rsidR="00A10883" w:rsidRDefault="00A10883" w:rsidP="00A10883">
                  <w:pPr>
                    <w:spacing w:line="360" w:lineRule="auto"/>
                    <w:jc w:val="left"/>
                  </w:pPr>
                  <w:r>
                    <w:t>175–189</w:t>
                  </w:r>
                </w:p>
              </w:tc>
            </w:tr>
            <w:tr w:rsidR="00A10883" w:rsidTr="00A10883">
              <w:tc>
                <w:tcPr>
                  <w:tcW w:w="1620" w:type="dxa"/>
                  <w:tcBorders>
                    <w:bottom w:val="single" w:sz="12" w:space="0" w:color="auto"/>
                  </w:tcBorders>
                </w:tcPr>
                <w:p w:rsidR="00A10883" w:rsidRDefault="00A10883" w:rsidP="00A10883">
                  <w:pPr>
                    <w:jc w:val="left"/>
                  </w:pPr>
                  <w:r>
                    <w:t>TWM.m</w:t>
                  </w:r>
                </w:p>
              </w:tc>
              <w:tc>
                <w:tcPr>
                  <w:tcW w:w="3389" w:type="dxa"/>
                  <w:tcBorders>
                    <w:bottom w:val="single" w:sz="12" w:space="0" w:color="auto"/>
                  </w:tcBorders>
                </w:tcPr>
                <w:p w:rsidR="00A10883" w:rsidRDefault="00A10883" w:rsidP="00A10883">
                  <w:pPr>
                    <w:jc w:val="left"/>
                  </w:pPr>
                  <w:r>
                    <w:t>Analysis/ThermalWaveNumbers.m</w:t>
                  </w:r>
                </w:p>
              </w:tc>
              <w:tc>
                <w:tcPr>
                  <w:tcW w:w="2371" w:type="dxa"/>
                  <w:tcBorders>
                    <w:bottom w:val="single" w:sz="12" w:space="0" w:color="auto"/>
                  </w:tcBorders>
                </w:tcPr>
                <w:p w:rsidR="00A10883" w:rsidRDefault="00A10883" w:rsidP="00A10883">
                  <w:pPr>
                    <w:jc w:val="left"/>
                  </w:pPr>
                  <w:r w:rsidRPr="00E449F2">
                    <w:t>IsotropicAnalysisStep</w:t>
                  </w:r>
                  <w:r>
                    <w:t>()</w:t>
                  </w:r>
                </w:p>
              </w:tc>
              <w:tc>
                <w:tcPr>
                  <w:tcW w:w="1960" w:type="dxa"/>
                  <w:tcBorders>
                    <w:bottom w:val="single" w:sz="12" w:space="0" w:color="auto"/>
                  </w:tcBorders>
                </w:tcPr>
                <w:p w:rsidR="00A10883" w:rsidRDefault="00A10883" w:rsidP="00A10883">
                  <w:pPr>
                    <w:jc w:val="left"/>
                  </w:pPr>
                  <w:r>
                    <w:t>191–282</w:t>
                  </w:r>
                </w:p>
              </w:tc>
            </w:tr>
            <w:tr w:rsidR="00A10883" w:rsidTr="00A10883">
              <w:tc>
                <w:tcPr>
                  <w:tcW w:w="9340" w:type="dxa"/>
                  <w:gridSpan w:val="4"/>
                  <w:tcBorders>
                    <w:top w:val="single" w:sz="12" w:space="0" w:color="auto"/>
                    <w:bottom w:val="nil"/>
                  </w:tcBorders>
                </w:tcPr>
                <w:p w:rsidR="00A10883" w:rsidRPr="00D018AA" w:rsidRDefault="00A10883" w:rsidP="00DC494A">
                  <w:pPr>
                    <w:rPr>
                      <w:i/>
                      <w:sz w:val="14"/>
                    </w:rPr>
                  </w:pPr>
                  <w:r>
                    <w:rPr>
                      <w:i/>
                      <w:sz w:val="16"/>
                    </w:rPr>
                    <w:t>*L</w:t>
                  </w:r>
                  <w:r w:rsidRPr="00D018AA">
                    <w:rPr>
                      <w:i/>
                      <w:sz w:val="16"/>
                    </w:rPr>
                    <w:t>ine numbers are</w:t>
                  </w:r>
                  <w:r w:rsidR="00DC494A">
                    <w:rPr>
                      <w:i/>
                      <w:sz w:val="16"/>
                    </w:rPr>
                    <w:t xml:space="preserve"> based on the code version commited</w:t>
                  </w:r>
                  <w:r w:rsidRPr="00D018AA">
                    <w:rPr>
                      <w:i/>
                      <w:sz w:val="16"/>
                    </w:rPr>
                    <w:t xml:space="preserve"> </w:t>
                  </w:r>
                  <w:r w:rsidR="00DC494A">
                    <w:rPr>
                      <w:i/>
                      <w:sz w:val="16"/>
                    </w:rPr>
                    <w:t>April 12</w:t>
                  </w:r>
                  <w:r w:rsidRPr="00D018AA">
                    <w:rPr>
                      <w:i/>
                      <w:sz w:val="16"/>
                    </w:rPr>
                    <w:t>,2017</w:t>
                  </w:r>
                </w:p>
              </w:tc>
            </w:tr>
          </w:tbl>
          <w:p w:rsidR="00A10883" w:rsidRDefault="00A10883" w:rsidP="00EE2927"/>
        </w:tc>
      </w:tr>
    </w:tbl>
    <w:p w:rsidR="00A10883" w:rsidRDefault="00A10883" w:rsidP="00EE2927"/>
    <w:p w:rsidR="00F801F4" w:rsidRDefault="00F801F4" w:rsidP="00F801F4">
      <w:pPr>
        <w:pStyle w:val="Heading1"/>
      </w:pPr>
      <w:r>
        <w:t>Changing the basic parameters</w:t>
      </w:r>
    </w:p>
    <w:p w:rsidR="00F801F4" w:rsidRDefault="00F801F4" w:rsidP="00F801F4">
      <w:r>
        <w:t>Changing the basic parameters, such as the film thickness or Kapitza resistance, can be done by editing the preferences file.</w:t>
      </w:r>
    </w:p>
    <w:p w:rsidR="00C3714D" w:rsidRDefault="00F801F4" w:rsidP="00F801F4">
      <w:r>
        <w:t>Changing the analysis modes, i.e. the parameters that will be fit during the analysis, is slightly more in</w:t>
      </w:r>
      <w:r w:rsidR="00C3714D">
        <w:softHyphen/>
      </w:r>
      <w:r>
        <w:t xml:space="preserve">volved. </w:t>
      </w:r>
      <w:r w:rsidR="000B5162">
        <w:t xml:space="preserve">Enabling of parameters is performed in FitTCMData.m in a switch-case statement at lines 177–206. </w:t>
      </w:r>
      <w:r w:rsidR="00C3714D">
        <w:t>Only three modes are currently available: full, fast, and film.</w:t>
      </w:r>
    </w:p>
    <w:p w:rsidR="00C3714D" w:rsidRDefault="00C3714D" w:rsidP="00C3714D">
      <w:pPr>
        <w:pStyle w:val="Heading2"/>
      </w:pPr>
      <w:r>
        <w:t>Modifying an Analysis Mode</w:t>
      </w:r>
    </w:p>
    <w:p w:rsidR="00A10206" w:rsidRDefault="00C3714D" w:rsidP="000C353A">
      <w:r>
        <w:t>All properties are</w:t>
      </w:r>
      <w:r w:rsidR="000B5162">
        <w:t xml:space="preserve"> disabled by default, so the only thing that needs to be done is enabling the parameters to be fit.</w:t>
      </w:r>
      <w:r>
        <w:t xml:space="preserve"> To fit an additional parameter simply add the line:</w:t>
      </w:r>
    </w:p>
    <w:p w:rsidR="00CB715D" w:rsidRDefault="00C3714D" w:rsidP="000C353A">
      <w:pPr>
        <w:rPr>
          <w:rStyle w:val="CodeChar"/>
        </w:rPr>
      </w:pPr>
      <w:r>
        <w:tab/>
      </w:r>
      <w:r w:rsidRPr="000C353A">
        <w:rPr>
          <w:rStyle w:val="CodeChar"/>
        </w:rPr>
        <w:t>fitMask(FitProperties</w:t>
      </w:r>
      <w:r w:rsidRPr="000C353A">
        <w:rPr>
          <w:rStyle w:val="CodeChar"/>
          <w:color w:val="A6A6A6" w:themeColor="background1" w:themeShade="A6"/>
        </w:rPr>
        <w:t>.&lt;Property Name Here&gt;</w:t>
      </w:r>
      <w:r w:rsidRPr="000C353A">
        <w:rPr>
          <w:rStyle w:val="CodeChar"/>
        </w:rPr>
        <w:t>) = true;</w:t>
      </w:r>
    </w:p>
    <w:p w:rsidR="00C3714D" w:rsidRDefault="00C3714D" w:rsidP="000C353A">
      <w:pPr>
        <w:rPr>
          <w:rFonts w:cs="Courier New"/>
        </w:rPr>
      </w:pPr>
      <w:r>
        <w:rPr>
          <w:rFonts w:cs="Courier New"/>
        </w:rPr>
        <w:t>using one of the properties listed in Analysis/FitProperties.m. Removing a fitted parameter from any analy</w:t>
      </w:r>
      <w:r>
        <w:rPr>
          <w:rFonts w:cs="Courier New"/>
        </w:rPr>
        <w:softHyphen/>
        <w:t>sis mode is performed simply by reversing the above process: either delete or comment-out the line of the corresponding parameter.</w:t>
      </w:r>
    </w:p>
    <w:p w:rsidR="0005179D" w:rsidRDefault="0005179D" w:rsidP="00F801F4">
      <w:pPr>
        <w:rPr>
          <w:rFonts w:cs="Courier New"/>
        </w:rPr>
      </w:pPr>
      <w:r>
        <w:rPr>
          <w:rFonts w:cs="Courier New"/>
        </w:rPr>
        <w:t>A val</w:t>
      </w:r>
      <w:r w:rsidR="000736E3">
        <w:rPr>
          <w:rFonts w:cs="Courier New"/>
        </w:rPr>
        <w:t>ue for the allowed frequencies can also be specified. For example, each of the default analysis modes have maximum frequencies that are specified by a line in the preferences file. This is not required, and a value can be hard-coded in.</w:t>
      </w:r>
    </w:p>
    <w:p w:rsidR="00C3714D" w:rsidRDefault="00C3714D" w:rsidP="00C3714D">
      <w:pPr>
        <w:pStyle w:val="Heading2"/>
      </w:pPr>
      <w:r>
        <w:lastRenderedPageBreak/>
        <w:t>Adding an New Analysis Mode</w:t>
      </w:r>
    </w:p>
    <w:p w:rsidR="00C3714D" w:rsidRDefault="0005179D" w:rsidP="00C3714D">
      <w:r>
        <w:t>Create a new case block within the switch-case statement with the name o</w:t>
      </w:r>
      <w:r w:rsidR="000736E3">
        <w:t>f the new analysis mode in all lowercase letters. If the GUI is going to be used then the name will also need to be added. This is done using GUIDE in MATLAB to edit GUI/StartAnalysis.m. Once the Start Analysis window is open</w:t>
      </w:r>
      <w:r w:rsidR="000C353A">
        <w:t xml:space="preserve"> in GUIDE</w:t>
      </w:r>
      <w:r w:rsidR="000736E3">
        <w:t xml:space="preserve">, locate the </w:t>
      </w:r>
      <w:r w:rsidR="000C353A">
        <w:t xml:space="preserve">control named </w:t>
      </w:r>
      <w:r w:rsidR="000C353A" w:rsidRPr="000C353A">
        <w:rPr>
          <w:rStyle w:val="CodeChar"/>
        </w:rPr>
        <w:t>ModelPopup</w:t>
      </w:r>
      <w:r w:rsidR="000C353A">
        <w:t xml:space="preserve"> and edit it.</w:t>
      </w:r>
      <w:r w:rsidR="000736E3">
        <w:t xml:space="preserve"> </w:t>
      </w:r>
      <w:r w:rsidR="000C353A">
        <w:t>Add</w:t>
      </w:r>
      <w:r w:rsidR="000736E3">
        <w:t xml:space="preserve"> the name of the additional mode</w:t>
      </w:r>
      <w:r w:rsidR="000C353A">
        <w:t xml:space="preserve"> to the list in the </w:t>
      </w:r>
      <w:r w:rsidR="000C353A" w:rsidRPr="000C353A">
        <w:rPr>
          <w:rStyle w:val="CodeChar"/>
        </w:rPr>
        <w:t>String</w:t>
      </w:r>
      <w:r w:rsidR="000C353A">
        <w:t xml:space="preserve"> property</w:t>
      </w:r>
      <w:r w:rsidR="000736E3">
        <w:t>. Save the changes and everything should be good to go.</w:t>
      </w:r>
    </w:p>
    <w:p w:rsidR="000736E3" w:rsidRDefault="000736E3" w:rsidP="000736E3">
      <w:pPr>
        <w:pStyle w:val="Heading1"/>
      </w:pPr>
      <w:r>
        <w:t>Advanced Modifications</w:t>
      </w:r>
    </w:p>
    <w:p w:rsidR="000736E3" w:rsidRDefault="000736E3" w:rsidP="000736E3">
      <w:r>
        <w:t>As stated previously, much of the code is copied verbatim from the original files. A few modifications have been made to improve performance, but hopefully these will be</w:t>
      </w:r>
      <w:r w:rsidR="00A10883">
        <w:t xml:space="preserve"> self-explanatory. Refer to </w:t>
      </w:r>
      <w:r w:rsidR="00A10883">
        <w:fldChar w:fldCharType="begin"/>
      </w:r>
      <w:r w:rsidR="00A10883">
        <w:instrText xml:space="preserve"> REF _Ref479766415 \h </w:instrText>
      </w:r>
      <w:r w:rsidR="00A10883">
        <w:fldChar w:fldCharType="separate"/>
      </w:r>
      <w:r w:rsidR="00A10883">
        <w:t xml:space="preserve">Table </w:t>
      </w:r>
      <w:r w:rsidR="00A10883">
        <w:rPr>
          <w:noProof/>
        </w:rPr>
        <w:t>1</w:t>
      </w:r>
      <w:r w:rsidR="00A10883">
        <w:fldChar w:fldCharType="end"/>
      </w:r>
      <w:r w:rsidR="00A10883">
        <w:t xml:space="preserve"> for the correlations between the different code bases.</w:t>
      </w:r>
    </w:p>
    <w:p w:rsidR="006259CD" w:rsidRDefault="006259CD" w:rsidP="006259CD">
      <w:pPr>
        <w:pStyle w:val="Heading1"/>
      </w:pPr>
      <w:r>
        <w:t>Running the Analysis</w:t>
      </w:r>
    </w:p>
    <w:p w:rsidR="006259CD" w:rsidRDefault="006259CD" w:rsidP="006259CD">
      <w:r>
        <w:t>The new analysis code can be simply used by running DefinitiveTCM</w:t>
      </w:r>
      <w:r w:rsidR="002F6F95">
        <w:t xml:space="preserve"> through the analysis GUI</w:t>
      </w:r>
      <w:r>
        <w:t>.</w:t>
      </w:r>
    </w:p>
    <w:p w:rsidR="00A10206" w:rsidRDefault="006259CD" w:rsidP="006259CD">
      <w:r>
        <w:t xml:space="preserve">However, in some cases it may be convenient to run the code outside of the pretty little GUI, such as when manual inspection of the data is desired. This is done primarily through FitTCMData.m. </w:t>
      </w:r>
      <w:r w:rsidR="00EE0336">
        <w:t>For detailed information t</w:t>
      </w:r>
      <w:r>
        <w:t xml:space="preserve">he documentation </w:t>
      </w:r>
      <w:r w:rsidR="00EE0336">
        <w:t>of</w:t>
      </w:r>
      <w:r>
        <w:t xml:space="preserve"> FitTCMData.m can be access</w:t>
      </w:r>
      <w:r w:rsidR="00EE0336">
        <w:t>ed</w:t>
      </w:r>
      <w:r>
        <w:t xml:space="preserve"> by </w:t>
      </w:r>
      <w:r w:rsidR="00EE0336">
        <w:t>runn</w:t>
      </w:r>
      <w:r w:rsidR="000F4512">
        <w:t>ing</w:t>
      </w:r>
      <w:r>
        <w:t>:</w:t>
      </w:r>
    </w:p>
    <w:p w:rsidR="00A10206" w:rsidRDefault="006259CD" w:rsidP="006259CD">
      <w:pPr>
        <w:rPr>
          <w:rStyle w:val="CodeChar"/>
        </w:rPr>
      </w:pPr>
      <w:r>
        <w:tab/>
      </w:r>
      <w:r w:rsidRPr="006259CD">
        <w:rPr>
          <w:rStyle w:val="CodeChar"/>
        </w:rPr>
        <w:t>help FitTCMData</w:t>
      </w:r>
    </w:p>
    <w:p w:rsidR="006259CD" w:rsidRDefault="006259CD" w:rsidP="006259CD">
      <w:r>
        <w:t>from the MATLAB command prompt.</w:t>
      </w:r>
    </w:p>
    <w:p w:rsidR="006259CD" w:rsidRDefault="006259CD" w:rsidP="006259CD">
      <w:r>
        <w:t xml:space="preserve">Before running FitTCMData it is necessary to </w:t>
      </w:r>
      <w:r w:rsidR="00D86A11">
        <w:t xml:space="preserve">1) </w:t>
      </w:r>
      <w:r>
        <w:t xml:space="preserve">ensure that you are in the root directory for DefinitiveTCM, and </w:t>
      </w:r>
      <w:r w:rsidR="00D86A11">
        <w:t xml:space="preserve">2) </w:t>
      </w:r>
      <w:r>
        <w:t xml:space="preserve">the folder Analysis is part of MATLAB’s variable </w:t>
      </w:r>
      <w:r w:rsidRPr="006259CD">
        <w:rPr>
          <w:rStyle w:val="CodeChar"/>
        </w:rPr>
        <w:t>PATH</w:t>
      </w:r>
      <w:r>
        <w:t>.</w:t>
      </w:r>
      <w:r w:rsidR="00D86A11">
        <w:t xml:space="preserve"> These requirements</w:t>
      </w:r>
      <w:r w:rsidR="00A10206">
        <w:t xml:space="preserve"> will ensure that the </w:t>
      </w:r>
      <w:r w:rsidR="00D86A11">
        <w:t xml:space="preserve">Database.xlsx, Preferences.ini, and </w:t>
      </w:r>
      <w:r w:rsidR="00A10206">
        <w:t>Settings.ini files can be found.</w:t>
      </w:r>
    </w:p>
    <w:p w:rsidR="000F4512" w:rsidRDefault="000F4512" w:rsidP="000F4512">
      <w:r>
        <w:t>Start an</w:t>
      </w:r>
      <w:r w:rsidR="00A10206">
        <w:t xml:space="preserve"> analy</w:t>
      </w:r>
      <w:r>
        <w:t>sis by running:</w:t>
      </w:r>
    </w:p>
    <w:p w:rsidR="000F4512" w:rsidRDefault="000F4512" w:rsidP="000F4512">
      <w:pPr>
        <w:pStyle w:val="Code"/>
        <w:ind w:left="720"/>
      </w:pPr>
      <w:r>
        <w:t>results = FitTCMData(</w:t>
      </w:r>
      <w:r w:rsidRPr="000F4512">
        <w:rPr>
          <w:color w:val="A6A6A6" w:themeColor="background1" w:themeShade="A6"/>
        </w:rPr>
        <w:t>&lt;DataFile&gt;</w:t>
      </w:r>
      <w:r>
        <w:t xml:space="preserve">, </w:t>
      </w:r>
      <w:r w:rsidRPr="000F4512">
        <w:rPr>
          <w:color w:val="A6A6A6" w:themeColor="background1" w:themeShade="A6"/>
        </w:rPr>
        <w:t>&lt;FilmMaterial&gt;</w:t>
      </w:r>
      <w:r>
        <w:t xml:space="preserve">, </w:t>
      </w:r>
      <w:r w:rsidRPr="000F4512">
        <w:rPr>
          <w:color w:val="A6A6A6" w:themeColor="background1" w:themeShade="A6"/>
        </w:rPr>
        <w:t>&lt;FilmThickness&gt;</w:t>
      </w:r>
      <w:r>
        <w:t>,</w:t>
      </w:r>
    </w:p>
    <w:p w:rsidR="000F4512" w:rsidRDefault="000F4512" w:rsidP="000F4512">
      <w:pPr>
        <w:pStyle w:val="Code"/>
        <w:ind w:left="2880" w:firstLine="720"/>
      </w:pPr>
      <w:r>
        <w:t xml:space="preserve">‘SubstrateName’, </w:t>
      </w:r>
      <w:r w:rsidRPr="000F4512">
        <w:rPr>
          <w:color w:val="A6A6A6" w:themeColor="background1" w:themeShade="A6"/>
        </w:rPr>
        <w:t>&lt;SubstrateMaterial&gt;</w:t>
      </w:r>
      <w:r>
        <w:t>,</w:t>
      </w:r>
    </w:p>
    <w:p w:rsidR="000F4512" w:rsidRDefault="000F4512" w:rsidP="000F4512">
      <w:pPr>
        <w:pStyle w:val="Code"/>
        <w:ind w:left="2880" w:firstLine="720"/>
      </w:pPr>
      <w:r>
        <w:t xml:space="preserve">‘AnalysisModel’, </w:t>
      </w:r>
      <w:r w:rsidRPr="000F4512">
        <w:rPr>
          <w:color w:val="A6A6A6" w:themeColor="background1" w:themeShade="A6"/>
        </w:rPr>
        <w:t>&lt;AnalysisModelName&gt;</w:t>
      </w:r>
      <w:r>
        <w:t>,</w:t>
      </w:r>
    </w:p>
    <w:p w:rsidR="000F4512" w:rsidRDefault="000F4512" w:rsidP="000F4512">
      <w:pPr>
        <w:pStyle w:val="Code"/>
        <w:ind w:left="2880" w:firstLine="720"/>
      </w:pPr>
      <w:r>
        <w:t xml:space="preserve">‘FitAmplitudes’, </w:t>
      </w:r>
      <w:r w:rsidRPr="000F4512">
        <w:rPr>
          <w:color w:val="A6A6A6" w:themeColor="background1" w:themeShade="A6"/>
        </w:rPr>
        <w:t>&lt;True or False&gt;</w:t>
      </w:r>
      <w:r>
        <w:t>,</w:t>
      </w:r>
    </w:p>
    <w:p w:rsidR="000F4512" w:rsidRDefault="000F4512" w:rsidP="000F4512">
      <w:pPr>
        <w:pStyle w:val="Code"/>
        <w:ind w:left="2880" w:firstLine="720"/>
      </w:pPr>
      <w:r>
        <w:t xml:space="preserve">‘Magnification’, </w:t>
      </w:r>
      <w:r w:rsidRPr="000F4512">
        <w:rPr>
          <w:color w:val="A6A6A6" w:themeColor="background1" w:themeShade="A6"/>
        </w:rPr>
        <w:t>&lt;Magnificationfactor&gt;</w:t>
      </w:r>
      <w:r>
        <w:t>)</w:t>
      </w:r>
    </w:p>
    <w:p w:rsidR="00421B37" w:rsidRDefault="000F4512" w:rsidP="000F4512">
      <w:r>
        <w:t>Only</w:t>
      </w:r>
      <w:r w:rsidR="00421B37">
        <w:t xml:space="preserve"> the first three arguments are required. It is recommended to provide a substrate name, otherwise the program will try to extract it from the name of the data file. The default values for the remaining parameters are:</w:t>
      </w:r>
    </w:p>
    <w:p w:rsidR="00421B37" w:rsidRDefault="00421B37" w:rsidP="00421B37">
      <w:pPr>
        <w:pStyle w:val="ListParagraph"/>
        <w:numPr>
          <w:ilvl w:val="0"/>
          <w:numId w:val="3"/>
        </w:numPr>
      </w:pPr>
      <w:r w:rsidRPr="000F4512">
        <w:rPr>
          <w:rStyle w:val="CodeChar"/>
        </w:rPr>
        <w:t>AnalysisModelName</w:t>
      </w:r>
      <w:r>
        <w:t>: Fast</w:t>
      </w:r>
    </w:p>
    <w:p w:rsidR="00421B37" w:rsidRDefault="00421B37" w:rsidP="00421B37">
      <w:pPr>
        <w:pStyle w:val="ListParagraph"/>
        <w:numPr>
          <w:ilvl w:val="0"/>
          <w:numId w:val="3"/>
        </w:numPr>
      </w:pPr>
      <w:r w:rsidRPr="000F4512">
        <w:rPr>
          <w:rStyle w:val="CodeChar"/>
        </w:rPr>
        <w:t>FitAmplitudes</w:t>
      </w:r>
      <w:r>
        <w:t>: found in Settings.ini</w:t>
      </w:r>
    </w:p>
    <w:p w:rsidR="00421B37" w:rsidRDefault="00421B37" w:rsidP="00421B37">
      <w:pPr>
        <w:pStyle w:val="ListParagraph"/>
        <w:numPr>
          <w:ilvl w:val="0"/>
          <w:numId w:val="3"/>
        </w:numPr>
      </w:pPr>
      <w:r w:rsidRPr="000F4512">
        <w:rPr>
          <w:rStyle w:val="CodeChar"/>
        </w:rPr>
        <w:t>Magnification</w:t>
      </w:r>
      <w:r>
        <w:t>: found in the data file</w:t>
      </w:r>
    </w:p>
    <w:p w:rsidR="00421B37" w:rsidRDefault="00421B37" w:rsidP="00421B37">
      <w:r>
        <w:t xml:space="preserve">The return value </w:t>
      </w:r>
      <w:r w:rsidRPr="00421B37">
        <w:rPr>
          <w:rStyle w:val="CodeChar"/>
        </w:rPr>
        <w:t>results</w:t>
      </w:r>
      <w:r>
        <w:t xml:space="preserve"> is a structure containing the following fields:</w:t>
      </w:r>
    </w:p>
    <w:p w:rsidR="00CF7596" w:rsidRDefault="00421B37" w:rsidP="00CF7596">
      <w:pPr>
        <w:pStyle w:val="Code"/>
        <w:numPr>
          <w:ilvl w:val="0"/>
          <w:numId w:val="4"/>
        </w:numPr>
      </w:pPr>
      <w:r>
        <w:t>analyzer</w:t>
      </w:r>
    </w:p>
    <w:p w:rsidR="00CF7596" w:rsidRDefault="00421B37" w:rsidP="00CF7596">
      <w:pPr>
        <w:pStyle w:val="ListParagraph"/>
        <w:numPr>
          <w:ilvl w:val="1"/>
          <w:numId w:val="4"/>
        </w:numPr>
      </w:pPr>
      <w:r w:rsidRPr="00CF7596">
        <w:rPr>
          <w:rStyle w:val="CodeChar"/>
        </w:rPr>
        <w:t>ThermalWaveNumber</w:t>
      </w:r>
      <w:r>
        <w:t xml:space="preserve"> object containing all the details of the analysis</w:t>
      </w:r>
    </w:p>
    <w:p w:rsidR="00421B37" w:rsidRDefault="00CF7596" w:rsidP="00CF7596">
      <w:pPr>
        <w:pStyle w:val="ListParagraph"/>
        <w:numPr>
          <w:ilvl w:val="1"/>
          <w:numId w:val="4"/>
        </w:numPr>
      </w:pPr>
      <w:r>
        <w:t xml:space="preserve">See ThermalWaveNumber.m for information about the available </w:t>
      </w:r>
      <w:r w:rsidR="0073224C">
        <w:t>properties</w:t>
      </w:r>
    </w:p>
    <w:p w:rsidR="00421B37" w:rsidRDefault="00421B37" w:rsidP="00421B37">
      <w:pPr>
        <w:pStyle w:val="ListParagraph"/>
        <w:numPr>
          <w:ilvl w:val="0"/>
          <w:numId w:val="4"/>
        </w:numPr>
      </w:pPr>
      <w:r w:rsidRPr="00CF7596">
        <w:rPr>
          <w:rStyle w:val="CodeChar"/>
        </w:rPr>
        <w:lastRenderedPageBreak/>
        <w:t>allProperties</w:t>
      </w:r>
      <w:r>
        <w:t>: an array of the property values used for the fitting, including the final values of the fitted parameters</w:t>
      </w:r>
    </w:p>
    <w:p w:rsidR="00421B37" w:rsidRDefault="00421B37" w:rsidP="00421B37">
      <w:pPr>
        <w:pStyle w:val="ListParagraph"/>
        <w:numPr>
          <w:ilvl w:val="0"/>
          <w:numId w:val="4"/>
        </w:numPr>
      </w:pPr>
      <w:r w:rsidRPr="00CF7596">
        <w:rPr>
          <w:rStyle w:val="CodeChar"/>
        </w:rPr>
        <w:t>fittedPropertiesMask</w:t>
      </w:r>
      <w:r>
        <w:t>: an array of the same dimension as allPropertites indicating which parameters were constant during the fitting and which parameters were fitted</w:t>
      </w:r>
    </w:p>
    <w:p w:rsidR="00421B37" w:rsidRDefault="00421B37" w:rsidP="00421B37">
      <w:pPr>
        <w:pStyle w:val="ListParagraph"/>
        <w:numPr>
          <w:ilvl w:val="0"/>
          <w:numId w:val="4"/>
        </w:numPr>
      </w:pPr>
      <w:r w:rsidRPr="00CF7596">
        <w:rPr>
          <w:rStyle w:val="CodeChar"/>
        </w:rPr>
        <w:t>chiSquared</w:t>
      </w:r>
      <w:r>
        <w:t>: final chi-squared value</w:t>
      </w:r>
    </w:p>
    <w:p w:rsidR="00421B37" w:rsidRDefault="00421B37" w:rsidP="00421B37">
      <w:pPr>
        <w:pStyle w:val="ListParagraph"/>
        <w:numPr>
          <w:ilvl w:val="0"/>
          <w:numId w:val="4"/>
        </w:numPr>
      </w:pPr>
      <w:r w:rsidRPr="00CF7596">
        <w:rPr>
          <w:rStyle w:val="CodeChar"/>
        </w:rPr>
        <w:t>fminSearchOutput</w:t>
      </w:r>
      <w:r>
        <w:t>: a structure containing the following fields:</w:t>
      </w:r>
    </w:p>
    <w:p w:rsidR="00421B37" w:rsidRDefault="00421B37" w:rsidP="00421B37">
      <w:pPr>
        <w:pStyle w:val="ListParagraph"/>
        <w:numPr>
          <w:ilvl w:val="1"/>
          <w:numId w:val="4"/>
        </w:numPr>
      </w:pPr>
      <w:r w:rsidRPr="00CF7596">
        <w:rPr>
          <w:rStyle w:val="CodeChar"/>
        </w:rPr>
        <w:t>x</w:t>
      </w:r>
      <w:r>
        <w:t xml:space="preserve">: </w:t>
      </w:r>
      <w:r w:rsidR="00CF7596">
        <w:t>the final values of the fitted parameters</w:t>
      </w:r>
    </w:p>
    <w:p w:rsidR="00CF7596" w:rsidRDefault="00CF7596" w:rsidP="00421B37">
      <w:pPr>
        <w:pStyle w:val="ListParagraph"/>
        <w:numPr>
          <w:ilvl w:val="1"/>
          <w:numId w:val="4"/>
        </w:numPr>
      </w:pPr>
      <w:r w:rsidRPr="00CF7596">
        <w:rPr>
          <w:rStyle w:val="CodeChar"/>
        </w:rPr>
        <w:t>fval</w:t>
      </w:r>
      <w:r>
        <w:t>: the final chi-squared value</w:t>
      </w:r>
    </w:p>
    <w:p w:rsidR="00CF7596" w:rsidRDefault="00CF7596" w:rsidP="00421B37">
      <w:pPr>
        <w:pStyle w:val="ListParagraph"/>
        <w:numPr>
          <w:ilvl w:val="1"/>
          <w:numId w:val="4"/>
        </w:numPr>
      </w:pPr>
      <w:r w:rsidRPr="00CF7596">
        <w:rPr>
          <w:rStyle w:val="CodeChar"/>
        </w:rPr>
        <w:t>exitFlag</w:t>
      </w:r>
      <w:r>
        <w:t>: any special exit conditions (none, user canceled, iterations exceeded, etc…)</w:t>
      </w:r>
    </w:p>
    <w:p w:rsidR="00CF7596" w:rsidRDefault="00CF7596" w:rsidP="00421B37">
      <w:pPr>
        <w:pStyle w:val="ListParagraph"/>
        <w:numPr>
          <w:ilvl w:val="1"/>
          <w:numId w:val="4"/>
        </w:numPr>
      </w:pPr>
      <w:r w:rsidRPr="00CF7596">
        <w:rPr>
          <w:rStyle w:val="CodeChar"/>
        </w:rPr>
        <w:t>output</w:t>
      </w:r>
      <w:r>
        <w:t>: more details about the optimization process</w:t>
      </w:r>
    </w:p>
    <w:p w:rsidR="00CF7596" w:rsidRPr="00A10206" w:rsidRDefault="00CF7596" w:rsidP="00CF7596">
      <w:pPr>
        <w:pStyle w:val="ListParagraph"/>
        <w:numPr>
          <w:ilvl w:val="0"/>
          <w:numId w:val="4"/>
        </w:numPr>
      </w:pPr>
      <w:r w:rsidRPr="00CF7596">
        <w:rPr>
          <w:rStyle w:val="CodeChar"/>
        </w:rPr>
        <w:t>standardError</w:t>
      </w:r>
      <w:r>
        <w:t>: an array</w:t>
      </w:r>
      <w:r w:rsidR="00131756">
        <w:t xml:space="preserve"> containing the results of</w:t>
      </w:r>
      <w:r>
        <w:t xml:space="preserve"> the error analysis</w:t>
      </w:r>
    </w:p>
    <w:sectPr w:rsidR="00CF7596" w:rsidRPr="00A10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F21ED"/>
    <w:multiLevelType w:val="hybridMultilevel"/>
    <w:tmpl w:val="58CE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B7053"/>
    <w:multiLevelType w:val="hybridMultilevel"/>
    <w:tmpl w:val="FB8C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A6699"/>
    <w:multiLevelType w:val="hybridMultilevel"/>
    <w:tmpl w:val="95EE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C858B2"/>
    <w:multiLevelType w:val="hybridMultilevel"/>
    <w:tmpl w:val="A642D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ocumentProtection w:edit="readOnly" w:enforcement="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0D8"/>
    <w:rsid w:val="0005179D"/>
    <w:rsid w:val="000736E3"/>
    <w:rsid w:val="000B5162"/>
    <w:rsid w:val="000C353A"/>
    <w:rsid w:val="000F4512"/>
    <w:rsid w:val="00131756"/>
    <w:rsid w:val="002F6F95"/>
    <w:rsid w:val="00421B37"/>
    <w:rsid w:val="005041EE"/>
    <w:rsid w:val="005734C1"/>
    <w:rsid w:val="005759B7"/>
    <w:rsid w:val="005C6BBB"/>
    <w:rsid w:val="00617D25"/>
    <w:rsid w:val="006259CD"/>
    <w:rsid w:val="00647E4D"/>
    <w:rsid w:val="006D1FBF"/>
    <w:rsid w:val="0073224C"/>
    <w:rsid w:val="009C2523"/>
    <w:rsid w:val="00A10206"/>
    <w:rsid w:val="00A10883"/>
    <w:rsid w:val="00B900D8"/>
    <w:rsid w:val="00C3714D"/>
    <w:rsid w:val="00CB715D"/>
    <w:rsid w:val="00CF7596"/>
    <w:rsid w:val="00D018AA"/>
    <w:rsid w:val="00D86A11"/>
    <w:rsid w:val="00DC494A"/>
    <w:rsid w:val="00E449F2"/>
    <w:rsid w:val="00EE0336"/>
    <w:rsid w:val="00EE2927"/>
    <w:rsid w:val="00F80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7D6AC-7B1A-4BE8-8F10-C3C1C100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162"/>
    <w:pPr>
      <w:jc w:val="both"/>
    </w:pPr>
  </w:style>
  <w:style w:type="paragraph" w:styleId="Heading1">
    <w:name w:val="heading 1"/>
    <w:basedOn w:val="Normal"/>
    <w:next w:val="Normal"/>
    <w:link w:val="Heading1Char"/>
    <w:uiPriority w:val="9"/>
    <w:qFormat/>
    <w:rsid w:val="00EE29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71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9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9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292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449F2"/>
    <w:pPr>
      <w:ind w:left="720"/>
      <w:contextualSpacing/>
    </w:pPr>
  </w:style>
  <w:style w:type="table" w:styleId="TableGrid">
    <w:name w:val="Table Grid"/>
    <w:basedOn w:val="TableNormal"/>
    <w:uiPriority w:val="39"/>
    <w:rsid w:val="00E44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734C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C3714D"/>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736E3"/>
    <w:pPr>
      <w:spacing w:after="200" w:line="240" w:lineRule="auto"/>
    </w:pPr>
    <w:rPr>
      <w:i/>
      <w:iCs/>
      <w:color w:val="44546A" w:themeColor="text2"/>
      <w:sz w:val="18"/>
      <w:szCs w:val="18"/>
    </w:rPr>
  </w:style>
  <w:style w:type="paragraph" w:customStyle="1" w:styleId="Code">
    <w:name w:val="Code"/>
    <w:basedOn w:val="Normal"/>
    <w:link w:val="CodeChar"/>
    <w:qFormat/>
    <w:rsid w:val="000F4512"/>
    <w:pPr>
      <w:spacing w:line="240" w:lineRule="auto"/>
      <w:contextualSpacing/>
    </w:pPr>
    <w:rPr>
      <w:rFonts w:ascii="Courier New" w:hAnsi="Courier New"/>
    </w:rPr>
  </w:style>
  <w:style w:type="character" w:customStyle="1" w:styleId="CodeChar">
    <w:name w:val="Code Char"/>
    <w:basedOn w:val="DefaultParagraphFont"/>
    <w:link w:val="Code"/>
    <w:rsid w:val="000F4512"/>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13D39-98E3-4D87-8D34-8AE156D4A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3</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RISE ISU</Company>
  <LinksUpToDate>false</LinksUpToDate>
  <CharactersWithSpaces>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Brycen Wendt</dc:creator>
  <cp:keywords/>
  <dc:description/>
  <cp:lastModifiedBy>Brycen Wendt</cp:lastModifiedBy>
  <cp:revision>15</cp:revision>
  <dcterms:created xsi:type="dcterms:W3CDTF">2017-04-12T16:49:00Z</dcterms:created>
  <dcterms:modified xsi:type="dcterms:W3CDTF">2017-04-12T20:11:00Z</dcterms:modified>
</cp:coreProperties>
</file>