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79"/>
          <w:sz w:val="32"/>
        </w:rPr>
        <w:t>End to End Process Map Midpoint Memo</w:t>
      </w:r>
    </w:p>
    <w:p>
      <w:pPr>
        <w:spacing w:after="240"/>
        <w:jc w:val="center"/>
      </w:pPr>
      <w:r>
        <w:rPr>
          <w:rFonts w:ascii="Calibri" w:hAnsi="Calibri"/>
          <w:i/>
          <w:sz w:val="24"/>
        </w:rPr>
        <w:t>Harvard Commencement 2026 Incident Action Plan</w:t>
      </w:r>
    </w:p>
    <w:p>
      <w:pPr>
        <w:pStyle w:val="Heading1"/>
        <w:spacing w:before="160" w:after="60"/>
      </w:pPr>
      <w:r>
        <w:rPr>
          <w:rFonts w:ascii="Calibri" w:hAnsi="Calibri"/>
          <w:b/>
          <w:color w:val="1F4E79"/>
          <w:sz w:val="28"/>
        </w:rPr>
        <w:t>Purpose and Overall Assessment</w:t>
      </w:r>
    </w:p>
    <w:p>
      <w:pPr>
        <w:spacing w:after="100" w:line="240" w:lineRule="auto"/>
      </w:pPr>
      <w:r>
        <w:rPr>
          <w:rFonts w:ascii="Calibri" w:hAnsi="Calibri"/>
          <w:color w:val="000000"/>
          <w:sz w:val="24"/>
        </w:rPr>
        <w:t>This memo assesses the End to End Process Map prototype built from the Harvard Commencement 2026 Incident Action Plan (IAP). The map makes the IAP readable as an operating sequence: the ICS 201 briefing establishes the operating picture; ICS 202 converts that picture into objectives and command emphasis; ICS 203 assigns organizational ownership; the seven ICS 204 assignment lists translate ownership into field deployment; and ICS 205 enables communications during execution. The map also distinguishes normal plan steps from two kinds of friction: red capacity or timing burdens and yellow coordination signals that deserve attention but should remain visible. The central conclusion is that the plan is structurally complete, but repeated manual assignment, time-sensitive coordination, and communications dependencies create avoidable setup risk that a reusable ICS 203-centered intake tool could reduce.</w:t>
      </w:r>
    </w:p>
    <w:p>
      <w:pPr>
        <w:spacing w:after="100" w:line="240" w:lineRule="auto"/>
      </w:pPr>
      <w:r>
        <w:rPr>
          <w:rFonts w:ascii="Calibri" w:hAnsi="Calibri"/>
          <w:color w:val="000000"/>
          <w:sz w:val="24"/>
        </w:rPr>
        <w:t>Compared with the organization’s own account in the supplied IAP, the map does not materially change the process or add new formal responsibilities. It preserves the named ICS forms, roles, sequence, and handoffs. Its difference is analytical and visual: the IAP is a set of separate operational forms, while the map shows their relationship as one end-to-end system and labels selected moments as red or yellow friction. The one reordered item in ICS 201—placing incident organization and command structure immediately after the map/sketch—improves the reading order by establishing who owns the response before the detailed situation, objectives, and resource discussion; it does not change the underlying information required by the plan.</w:t>
      </w:r>
    </w:p>
    <w:p>
      <w:pPr>
        <w:pStyle w:val="Heading1"/>
        <w:spacing w:before="160" w:after="60"/>
      </w:pPr>
      <w:r>
        <w:rPr>
          <w:rFonts w:ascii="Calibri" w:hAnsi="Calibri"/>
          <w:b/>
          <w:color w:val="1F4E79"/>
          <w:sz w:val="28"/>
        </w:rPr>
        <w:t>Friction Categories and Reasoning</w:t>
      </w:r>
    </w:p>
    <w:p>
      <w:pPr>
        <w:spacing w:after="100" w:line="240" w:lineRule="auto"/>
      </w:pPr>
      <w:r>
        <w:rPr>
          <w:rFonts w:ascii="Calibri" w:hAnsi="Calibri"/>
          <w:color w:val="000000"/>
          <w:sz w:val="24"/>
        </w:rPr>
        <w:t>Red frictions are steps that consume scarce time, personnel capacity, or decision bandwidth; they are not necessarily errors, but they are likely places for delay or omission. Yellow frictions are signals: they point to information or coordination that should be explicitly checked, preserved, and surfaced early rather than removed. The following judgments apply that distinction to each flow in the map.</w:t>
      </w:r>
    </w:p>
    <w:p>
      <w:pPr>
        <w:pStyle w:val="Heading2"/>
        <w:spacing w:before="160" w:after="60"/>
      </w:pPr>
      <w:r>
        <w:rPr>
          <w:rFonts w:ascii="Calibri" w:hAnsi="Calibri"/>
          <w:b/>
          <w:color w:val="1F4E79"/>
          <w:sz w:val="26"/>
        </w:rPr>
        <w:t>ICS 201 Incident Briefing</w:t>
      </w:r>
    </w:p>
    <w:p>
      <w:pPr>
        <w:spacing w:after="100" w:line="240" w:lineRule="auto"/>
      </w:pPr>
      <w:r>
        <w:rPr>
          <w:rFonts w:ascii="Calibri" w:hAnsi="Calibri"/>
          <w:color w:val="000000"/>
          <w:sz w:val="24"/>
        </w:rPr>
        <w:t>The ICS 201 flow has two red frictions: converting objectives into detailed actions, strategies, and tactics, and coordinating roll call, barriers, gates, posts, processions, protest activity, and the ceremony timeline. Both require many operational details to align in a limited briefing window, making them genuine time and capacity burdens. The yellow items—the situation and safety summary, and resource arrival status—are valuable control signals. They should remain prominent because they expose whether the plan is still grounded in current conditions and whether assumptions about available personnel are valid.</w:t>
      </w:r>
    </w:p>
    <w:p>
      <w:pPr>
        <w:pStyle w:val="Heading2"/>
        <w:spacing w:before="160" w:after="60"/>
      </w:pPr>
      <w:r>
        <w:rPr>
          <w:rFonts w:ascii="Calibri" w:hAnsi="Calibri"/>
          <w:b/>
          <w:color w:val="1F4E79"/>
          <w:sz w:val="26"/>
        </w:rPr>
        <w:t>ICS 202 Incident Objectives</w:t>
      </w:r>
    </w:p>
    <w:p>
      <w:pPr>
        <w:spacing w:after="100" w:line="240" w:lineRule="auto"/>
      </w:pPr>
      <w:r>
        <w:rPr>
          <w:rFonts w:ascii="Calibri" w:hAnsi="Calibri"/>
          <w:color w:val="000000"/>
          <w:sz w:val="24"/>
        </w:rPr>
        <w:t>The red frictions in ICS 202 are command emphasis and the decision about whether a site safety plan is required. Command emphasis can become ambiguous when it is not translated into specific, measurable priorities, while the safety-plan decision can hold up distribution if responsibility or the threshold is unclear. The yellow situational-awareness and weather item is a useful signal because conditions can change after planning; it should trigger an explicit update check rather than be treated as static background information.</w:t>
      </w:r>
    </w:p>
    <w:p>
      <w:pPr>
        <w:pStyle w:val="Heading2"/>
        <w:spacing w:before="160" w:after="60"/>
      </w:pPr>
      <w:r>
        <w:rPr>
          <w:rFonts w:ascii="Calibri" w:hAnsi="Calibri"/>
          <w:b/>
          <w:color w:val="1F4E79"/>
          <w:sz w:val="26"/>
        </w:rPr>
        <w:t>ICS 203 Organization Assignment List</w:t>
      </w:r>
    </w:p>
    <w:p>
      <w:pPr>
        <w:spacing w:after="100" w:line="240" w:lineRule="auto"/>
      </w:pPr>
      <w:r>
        <w:rPr>
          <w:rFonts w:ascii="Calibri" w:hAnsi="Calibri"/>
          <w:color w:val="000000"/>
          <w:sz w:val="24"/>
        </w:rPr>
        <w:t>ICS 203 has one red friction: defining the Logistics Section structure. Logistics is where personnel, equipment, transportation, staging, and support requirements become operationally real, so omissions can affect every downstream assignment. The yellow agency and organization representative step is a healthy coordination signal; it reveals the outside partners who need to be connected to the command structure. This is the strongest candidate for a reusable form because it establishes the director or incident commander, section leadership, and named ownership before assignment lists are issued.</w:t>
      </w:r>
    </w:p>
    <w:p>
      <w:pPr>
        <w:pStyle w:val="Heading2"/>
        <w:spacing w:before="160" w:after="60"/>
      </w:pPr>
      <w:r>
        <w:rPr>
          <w:rFonts w:ascii="Calibri" w:hAnsi="Calibri"/>
          <w:b/>
          <w:color w:val="1F4E79"/>
          <w:sz w:val="26"/>
        </w:rPr>
        <w:t>ICS 204 EOD K9 Assignment List</w:t>
      </w:r>
    </w:p>
    <w:p>
      <w:pPr>
        <w:spacing w:after="100" w:line="240" w:lineRule="auto"/>
      </w:pPr>
      <w:r>
        <w:rPr>
          <w:rFonts w:ascii="Calibri" w:hAnsi="Calibri"/>
          <w:color w:val="000000"/>
          <w:sz w:val="24"/>
        </w:rPr>
        <w:t>The EOD/K9 flow’s red friction is the work-assignment step that joins events, sweeps, and outside K9 support. It combines specialized assets with time-critical field activity, so late changes can disrupt both the sweep schedule and external coordination. The remaining steps are relatively stable: they identify reporting structure, resources, special instructions, and the communications contact. No yellow item is marked here because the chief risk is execution capacity, not a recurring informational signal that needs additional visibility.</w:t>
      </w:r>
    </w:p>
    <w:p>
      <w:pPr>
        <w:pStyle w:val="Heading2"/>
        <w:spacing w:before="160" w:after="60"/>
      </w:pPr>
      <w:r>
        <w:rPr>
          <w:rFonts w:ascii="Calibri" w:hAnsi="Calibri"/>
          <w:b/>
          <w:color w:val="1F4E79"/>
          <w:sz w:val="26"/>
        </w:rPr>
        <w:t>ICS 204 SRT Assignment List</w:t>
      </w:r>
    </w:p>
    <w:p>
      <w:pPr>
        <w:spacing w:after="100" w:line="240" w:lineRule="auto"/>
      </w:pPr>
      <w:r>
        <w:rPr>
          <w:rFonts w:ascii="Calibri" w:hAnsi="Calibri"/>
          <w:color w:val="000000"/>
          <w:sz w:val="24"/>
        </w:rPr>
        <w:t>The SRT flow has two red frictions: mission-dependent deployment and a radio channel that remains to be determined on the day of the event. Mission-dependent deployment appropriately preserves tactical flexibility, but it also limits advance certainty about resource placement. A TBD channel is more acute because it can impede an immediate response. The yellow resource-assignment step is useful: it provides an early check that quick-reaction force, overwatch, and tactical-medical coverage are actually present before the team is relied upon.</w:t>
      </w:r>
    </w:p>
    <w:p>
      <w:pPr>
        <w:pStyle w:val="Heading2"/>
        <w:spacing w:before="160" w:after="60"/>
      </w:pPr>
      <w:r>
        <w:rPr>
          <w:rFonts w:ascii="Calibri" w:hAnsi="Calibri"/>
          <w:b/>
          <w:color w:val="1F4E79"/>
          <w:sz w:val="26"/>
        </w:rPr>
        <w:t>ICS 204 TPF Assignment List</w:t>
      </w:r>
    </w:p>
    <w:p>
      <w:pPr>
        <w:spacing w:after="100" w:line="240" w:lineRule="auto"/>
      </w:pPr>
      <w:r>
        <w:rPr>
          <w:rFonts w:ascii="Calibri" w:hAnsi="Calibri"/>
          <w:color w:val="000000"/>
          <w:sz w:val="24"/>
        </w:rPr>
        <w:t>The TPF flow is friction-heavy because both resource and shift-window assignment and the road-closure, escort, and crowd-management workload are marked red. These tasks need many people, precise timing, and rapid adjustment around a public event. The yellow 13:00 reassignment step is worth retaining as a signal rather than treating as a defect: it flags a known surge point tied to high-value visits and helps supervisors anticipate a change before the change becomes urgent.</w:t>
      </w:r>
    </w:p>
    <w:p>
      <w:pPr>
        <w:pStyle w:val="Heading2"/>
        <w:spacing w:before="160" w:after="60"/>
      </w:pPr>
      <w:r>
        <w:rPr>
          <w:rFonts w:ascii="Calibri" w:hAnsi="Calibri"/>
          <w:b/>
          <w:color w:val="1F4E79"/>
          <w:sz w:val="26"/>
        </w:rPr>
        <w:t>ICS 204 Traffic Unit Assignment List</w:t>
      </w:r>
    </w:p>
    <w:p>
      <w:pPr>
        <w:spacing w:after="100" w:line="240" w:lineRule="auto"/>
      </w:pPr>
      <w:r>
        <w:rPr>
          <w:rFonts w:ascii="Calibri" w:hAnsi="Calibri"/>
          <w:color w:val="000000"/>
          <w:sz w:val="24"/>
        </w:rPr>
        <w:t>The Traffic Unit flow has red frictions at stopping traffic at Oxford/Everett and positioning blocking trucks after students process. Both actions depend on exact sequencing with pedestrian movement, processions, and roadway conditions; a late or premature move can create safety and access problems. There are no yellow items because the marked issues are direct operational burdens. The map makes clear that these should be validated through a time-and-location check in the pre-event briefing.</w:t>
      </w:r>
    </w:p>
    <w:p>
      <w:r>
        <w:br w:type="page"/>
      </w:r>
    </w:p>
    <w:p>
      <w:pPr>
        <w:pStyle w:val="Heading2"/>
        <w:spacing w:before="160" w:after="60"/>
      </w:pPr>
      <w:r>
        <w:rPr>
          <w:rFonts w:ascii="Calibri" w:hAnsi="Calibri"/>
          <w:b/>
          <w:color w:val="1F4E79"/>
          <w:sz w:val="26"/>
        </w:rPr>
        <w:t>ICS 204 CIS Assignment List</w:t>
      </w:r>
    </w:p>
    <w:p>
      <w:pPr>
        <w:spacing w:after="100" w:line="240" w:lineRule="auto"/>
      </w:pPr>
      <w:r>
        <w:rPr>
          <w:rFonts w:ascii="Calibri" w:hAnsi="Calibri"/>
          <w:color w:val="000000"/>
          <w:sz w:val="24"/>
        </w:rPr>
        <w:t>The CIS flow uses a yellow item for assigning detectives to high-value personnel. That is not a problem to eliminate; it is a signal that protective coverage depends on current, named VIP information and should be verified as the event approaches. The balance of the flow—plain-clothes coverage, dress guidance, and communications—is comparatively linear. The principal design implication is to make the high-value-personnel assignment visible in the information intake without exposing unnecessary sensitive details in a generalized form.</w:t>
      </w:r>
    </w:p>
    <w:p>
      <w:pPr>
        <w:pStyle w:val="Heading2"/>
        <w:spacing w:before="160" w:after="60"/>
      </w:pPr>
      <w:r>
        <w:rPr>
          <w:rFonts w:ascii="Calibri" w:hAnsi="Calibri"/>
          <w:b/>
          <w:color w:val="1F4E79"/>
          <w:sz w:val="26"/>
        </w:rPr>
        <w:t>ICS 204 Detail Officers Assignment List</w:t>
      </w:r>
    </w:p>
    <w:p>
      <w:pPr>
        <w:spacing w:after="100" w:line="240" w:lineRule="auto"/>
      </w:pPr>
      <w:r>
        <w:rPr>
          <w:rFonts w:ascii="Calibri" w:hAnsi="Calibri"/>
          <w:color w:val="000000"/>
          <w:sz w:val="24"/>
        </w:rPr>
        <w:t>The Detail Officers flow has red friction at staffing two coverage windows and assigning officers at the discretion of the Incident Commander. Coverage windows introduce staffing pressure, while discretionary assignment can create uncertainty if the underlying roster, reporting time, or task priority is not visible to supervisors. These are suitable for a structured intake because required information can be captured in advance: window, location, supervisor, number of officers, and assignment authority.</w:t>
      </w:r>
    </w:p>
    <w:p>
      <w:pPr>
        <w:pStyle w:val="Heading2"/>
        <w:spacing w:before="160" w:after="60"/>
      </w:pPr>
      <w:r>
        <w:rPr>
          <w:rFonts w:ascii="Calibri" w:hAnsi="Calibri"/>
          <w:b/>
          <w:color w:val="1F4E79"/>
          <w:sz w:val="26"/>
        </w:rPr>
        <w:t>ICS 204 ECC Assignment List</w:t>
      </w:r>
    </w:p>
    <w:p>
      <w:pPr>
        <w:spacing w:after="100" w:line="240" w:lineRule="auto"/>
      </w:pPr>
      <w:r>
        <w:rPr>
          <w:rFonts w:ascii="Calibri" w:hAnsi="Calibri"/>
          <w:color w:val="000000"/>
          <w:sz w:val="24"/>
        </w:rPr>
        <w:t>The ECC flow marks continuous communications monitoring as red because it is a sustained operational workload rather than a one-time handoff. The yellow coordination of inter-agency personnel activities is an important signal: the command post needs visibility into partner activity in real time. The proposed tool should not attempt to replace ECC operations; instead, it should make its incident commander, communications point of contact, and inter-agency coordination fields readily available to the plan preparer.</w:t>
      </w:r>
    </w:p>
    <w:p>
      <w:pPr>
        <w:pStyle w:val="Heading2"/>
        <w:spacing w:before="160" w:after="60"/>
      </w:pPr>
      <w:r>
        <w:rPr>
          <w:rFonts w:ascii="Calibri" w:hAnsi="Calibri"/>
          <w:b/>
          <w:color w:val="1F4E79"/>
          <w:sz w:val="26"/>
        </w:rPr>
        <w:t>ICS 205 Incident Radio Communications Plan</w:t>
      </w:r>
    </w:p>
    <w:p>
      <w:pPr>
        <w:spacing w:after="100" w:line="240" w:lineRule="auto"/>
      </w:pPr>
      <w:r>
        <w:rPr>
          <w:rFonts w:ascii="Calibri" w:hAnsi="Calibri"/>
          <w:color w:val="000000"/>
          <w:sz w:val="24"/>
        </w:rPr>
        <w:t>ICS 205 contains two red frictions: accurately recording frequencies, tones, and modes, and applying the encryption-switch convention for Cambridge users. Both have high consequences when incorrect and are difficult to repair during an event. The yellow operational-remarks and cross-agency-patches step is a useful signal because it captures exceptions and interconnections that a channel list alone will not show. The form should link to this plan rather than duplicate technical communications data, while including a field for the designated communications lead and confirmation that ICS 205 has been completed.</w:t>
      </w:r>
    </w:p>
    <w:p>
      <w:pPr>
        <w:pStyle w:val="Heading1"/>
        <w:spacing w:before="160" w:after="60"/>
      </w:pPr>
      <w:r>
        <w:rPr>
          <w:rFonts w:ascii="Calibri" w:hAnsi="Calibri"/>
          <w:b/>
          <w:color w:val="1F4E79"/>
          <w:sz w:val="28"/>
        </w:rPr>
        <w:t>Prototype What Worked and What Did Not Yet Work</w:t>
      </w:r>
    </w:p>
    <w:p>
      <w:pPr>
        <w:spacing w:after="100" w:line="240" w:lineRule="auto"/>
      </w:pPr>
      <w:r>
        <w:rPr>
          <w:rFonts w:ascii="Calibri" w:hAnsi="Calibri"/>
          <w:color w:val="000000"/>
          <w:sz w:val="24"/>
        </w:rPr>
        <w:t>What worked is the prototype’s ability to compress a large, form-based plan into a readable sequence without losing role ownership, tool/form identification, or transition timing. The left-to-right lane structure makes the progression from command briefing to objectives, organization, field assignments, and communications understandable in a single artifact. The color coding also creates a productive discussion: red tells the team where to ask about workload, timing, or possible failure points, while yellow preserves information that may look cumbersome but is actually essential for situational awareness or cross-agency coordination.</w:t>
      </w:r>
    </w:p>
    <w:p>
      <w:pPr>
        <w:spacing w:after="100" w:line="240" w:lineRule="auto"/>
      </w:pPr>
      <w:r>
        <w:rPr>
          <w:rFonts w:ascii="Calibri" w:hAnsi="Calibri"/>
          <w:color w:val="000000"/>
          <w:sz w:val="24"/>
        </w:rPr>
        <w:t>What did not yet work is that the map remains primarily a static representation. It shows responsibility but does not allow a user to populate, validate, or reuse the information that determines an incident’s organization. The timing labels are useful context, but they are illustrative rather than measured performance data. The prototype also does not distinguish which details are public planning information and which are sensitive operational data. The most useful surprise is that ICS 203—rather than the much longer assignment lists—is the natural control point for a buildable first tool: it establishes the incident commander/director, command staff, section leads, and partner representatives that downstream forms repeatedly depend upon.</w:t>
      </w:r>
    </w:p>
    <w:p>
      <w:pPr>
        <w:pStyle w:val="Heading1"/>
        <w:spacing w:before="160" w:after="60"/>
      </w:pPr>
      <w:r>
        <w:rPr>
          <w:rFonts w:ascii="Calibri" w:hAnsi="Calibri"/>
          <w:b/>
          <w:color w:val="1F4E79"/>
          <w:sz w:val="28"/>
        </w:rPr>
        <w:t>Proposed Scope for the Final Deliverable</w:t>
      </w:r>
    </w:p>
    <w:p>
      <w:pPr>
        <w:spacing w:after="100" w:line="240" w:lineRule="auto"/>
      </w:pPr>
      <w:r>
        <w:rPr>
          <w:rFonts w:ascii="Calibri" w:hAnsi="Calibri"/>
          <w:color w:val="000000"/>
          <w:sz w:val="24"/>
        </w:rPr>
        <w:t>The final deliverable should be a buildable, reusable ICS 203 Incident Organization Intake Form, supported by a short operating routine and a validation plan. The form would create a standardized starting point for every new event by capturing the incident name, operational period, event date and location, director or Incident Commander, Deputy Incident Commander, Command Staff, Planning, Logistics, Operations, and Finance/Administration leads, liaison or agency representatives, preparer, issue date, and confirmation that related ICS 201, 202, 204, and 205 materials have been assigned or completed. It should provide clear required fields, role-based drop-down or text fields where appropriate, a draft/completed status, and a printable or exportable organization summary that can be used to begin an ICS 203.</w:t>
      </w:r>
    </w:p>
    <w:p>
      <w:pPr>
        <w:spacing w:after="100" w:line="240" w:lineRule="auto"/>
      </w:pPr>
      <w:r>
        <w:rPr>
          <w:rFonts w:ascii="Calibri" w:hAnsi="Calibri"/>
          <w:color w:val="000000"/>
          <w:sz w:val="24"/>
        </w:rPr>
        <w:t>The build should intentionally stay within this scope: it should not replace the full IAP, dispatch, sensitive tactical assignments, or the technical radio plan. A simple workflow would be: the event director starts a new incident record; the preparer enters core incident and operational-period information; leadership names and partner representatives are confirmed; the form flags missing required roles; and the approved summary is used to prepare the formal ICS 203 and guide downstream assignment lists. This scope directly addresses the map’s most reusable friction—unclear or manually reassembled command and section ownership—while preserving the existing organization’s ICS process.</w:t>
      </w:r>
    </w:p>
    <w:p>
      <w:pPr>
        <w:spacing w:after="100" w:line="240" w:lineRule="auto"/>
      </w:pPr>
      <w:r>
        <w:rPr>
          <w:rFonts w:ascii="Calibri" w:hAnsi="Calibri"/>
          <w:color w:val="000000"/>
          <w:sz w:val="24"/>
        </w:rPr>
        <w:t>Validation should include three tests. First, a completeness test: use the form to create a sample commencement record and verify that every required ICS 203 leadership and section field is present. Second, a usability test: ask two or three prospective users to create an organization list from the same scenario and identify confusing labels, missing fields, or unnecessary fields. Third, a process-fit test: compare the exported summary with the existing ICS 203 template and confirm that it supports, rather than conflicts with, the organization’s actual approval and distribution practice. Success would mean less repeated re-entry, clearer ownership before ICS 204 assignment lists are prepared, and a reliable foundation for each new event.</w:t>
      </w:r>
    </w:p>
    <w:p>
      <w:pPr>
        <w:pStyle w:val="Heading1"/>
        <w:spacing w:before="160" w:after="60"/>
      </w:pPr>
      <w:r>
        <w:rPr>
          <w:rFonts w:ascii="Calibri" w:hAnsi="Calibri"/>
          <w:b/>
          <w:color w:val="1F4E79"/>
          <w:sz w:val="28"/>
        </w:rPr>
        <w:t>References</w:t>
      </w:r>
    </w:p>
    <w:p>
      <w:pPr>
        <w:spacing w:after="100" w:line="240" w:lineRule="auto"/>
      </w:pPr>
      <w:r>
        <w:rPr>
          <w:rFonts w:ascii="Calibri" w:hAnsi="Calibri"/>
          <w:color w:val="000000"/>
          <w:sz w:val="24"/>
        </w:rPr>
        <w:t>Cambridge Police Department. (2026, May 28). Harvard Commencement IAP Final [Incident action plan].</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