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Style w:val="Aucun"/>
          <w:b w:val="1"/>
          <w:bCs w:val="1"/>
          <w:sz w:val="32"/>
          <w:szCs w:val="32"/>
          <w:rtl w:val="0"/>
          <w:lang w:val="fr-FR"/>
        </w:rPr>
        <w:t>ILOSCOPE</w:t>
      </w:r>
      <w:r>
        <w:rPr>
          <w:rtl w:val="0"/>
          <w:lang w:val="fr-FR"/>
        </w:rPr>
        <w:t xml:space="preserve"> </w:t>
      </w:r>
    </w:p>
    <w:p>
      <w:pPr>
        <w:pStyle w:val="Corps"/>
        <w:jc w:val="center"/>
      </w:pPr>
      <w:r>
        <w:rPr>
          <w:rtl w:val="0"/>
          <w:lang w:val="fr-FR"/>
        </w:rPr>
        <w:t>NOTICE</w:t>
      </w:r>
    </w:p>
    <w:p>
      <w:pPr>
        <w:pStyle w:val="Corps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Bruciamacchie Max, 2022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Titre table matière"/>
        <w:bidi w:val="0"/>
      </w:pPr>
      <w:r>
        <w:rPr>
          <w:rtl w:val="0"/>
        </w:rPr>
        <w:t>Table des mati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/>
        <w:fldChar w:fldCharType="begin" w:fldLock="0"/>
      </w:r>
      <w:r>
        <w:instrText xml:space="preserve"> TOC \t "Titre, 1,Titre1, 2"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Installation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Eléments de choix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_Toc1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Organisation informatique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_Toc2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Données nécessaires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_Toc3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Données optionnelles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_Toc4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Les différentes fonctions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4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</w:pPr>
      <w:r>
        <w:rPr>
          <w:sz w:val="22"/>
          <w:szCs w:val="22"/>
          <w:rtl w:val="0"/>
          <w:lang w:val="fr-FR"/>
        </w:rPr>
        <w:t>Fonction : IlotDataImport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_Toc6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Titre"/>
        <w:bidi w:val="0"/>
      </w:pP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right"/>
        <w:rPr>
          <w:rFonts w:ascii="Arial" w:cs="Arial" w:hAnsi="Arial" w:eastAsia="Arial"/>
          <w:outline w:val="0"/>
          <w:color w:val="935100"/>
          <w:sz w:val="18"/>
          <w:szCs w:val="18"/>
          <w14:textFill>
            <w14:solidFill>
              <w14:srgbClr w14:val="945200"/>
            </w14:solidFill>
          </w14:textFill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Installation</w:t>
      </w:r>
      <w:bookmarkEnd w:id="0"/>
    </w:p>
    <w:p>
      <w:pPr>
        <w:pStyle w:val="Corps"/>
        <w:bidi w:val="0"/>
      </w:pPr>
    </w:p>
    <w:p>
      <w:pPr>
        <w:pStyle w:val="Titre1"/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El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ments de choix</w:t>
      </w:r>
      <w:bookmarkEnd w:id="1"/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Surface</w:t>
      </w:r>
    </w:p>
    <w:p>
      <w:pPr>
        <w:pStyle w:val="Corps"/>
        <w:bidi w:val="0"/>
      </w:pPr>
      <w:r>
        <w:rPr>
          <w:rtl w:val="0"/>
        </w:rPr>
        <w:t>A</w:t>
      </w:r>
      <w:r>
        <w:rPr>
          <w:rtl w:val="0"/>
        </w:rPr>
        <w:t>fin que les participants puissent parcourir la zone en 3 heures maximum</w:t>
      </w:r>
      <w:r>
        <w:rPr>
          <w:rtl w:val="0"/>
        </w:rPr>
        <w:t>, la surface retenue sera d</w:t>
      </w:r>
      <w:r>
        <w:rPr>
          <w:rtl w:val="0"/>
        </w:rPr>
        <w:t>’</w:t>
      </w:r>
      <w:r>
        <w:rPr>
          <w:rtl w:val="0"/>
        </w:rPr>
        <w:t xml:space="preserve">environ </w:t>
      </w:r>
      <w:r>
        <w:rPr>
          <w:rtl w:val="0"/>
        </w:rPr>
        <w:t>150</w:t>
      </w:r>
      <w:r>
        <w:rPr>
          <w:rtl w:val="0"/>
        </w:rPr>
        <w:t xml:space="preserve"> à </w:t>
      </w:r>
      <w:r>
        <w:rPr>
          <w:rtl w:val="0"/>
        </w:rPr>
        <w:t>200 ha</w:t>
      </w:r>
      <w:r>
        <w:rPr>
          <w:rtl w:val="0"/>
        </w:rPr>
        <w:t xml:space="preserve"> </w:t>
      </w:r>
      <w:r>
        <w:rPr>
          <w:rtl w:val="0"/>
        </w:rPr>
        <w:t>selon l</w:t>
      </w:r>
      <w:r>
        <w:rPr>
          <w:rtl w:val="1"/>
        </w:rPr>
        <w:t>’</w:t>
      </w:r>
      <w:r>
        <w:rPr>
          <w:rtl w:val="0"/>
          <w:lang w:val="it-IT"/>
        </w:rPr>
        <w:t>accessibilit</w:t>
      </w:r>
      <w:r>
        <w:rPr>
          <w:rtl w:val="0"/>
        </w:rPr>
        <w:t>é</w:t>
      </w:r>
      <w:r>
        <w:rPr>
          <w:rStyle w:val="Aucun"/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>.</w:t>
      </w:r>
      <w:r>
        <w:rPr>
          <w:rtl w:val="0"/>
        </w:rPr>
        <w:t xml:space="preserve"> Il est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rable que la surface retenue appartienne </w:t>
      </w:r>
      <w:r>
        <w:rPr>
          <w:rtl w:val="0"/>
        </w:rPr>
        <w:t xml:space="preserve">à </w:t>
      </w:r>
      <w:r>
        <w:rPr>
          <w:rtl w:val="0"/>
        </w:rPr>
        <w:t>un seul propri</w:t>
      </w:r>
      <w:r>
        <w:rPr>
          <w:rtl w:val="0"/>
        </w:rPr>
        <w:t>é</w:t>
      </w:r>
      <w:r>
        <w:rPr>
          <w:rtl w:val="0"/>
        </w:rPr>
        <w:t>taire.</w:t>
      </w:r>
    </w:p>
    <w:p>
      <w:pPr>
        <w:pStyle w:val="Corps"/>
        <w:bidi w:val="0"/>
      </w:pPr>
    </w:p>
    <w:p>
      <w:pPr>
        <w:pStyle w:val="Corps"/>
        <w:bidi w:val="0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D</w:t>
      </w:r>
      <w:r>
        <w:rPr>
          <w:rStyle w:val="Aucun"/>
          <w:i w:val="1"/>
          <w:iCs w:val="1"/>
          <w:rtl w:val="0"/>
        </w:rPr>
        <w:t>iversit</w:t>
      </w:r>
      <w:r>
        <w:rPr>
          <w:rStyle w:val="Aucun"/>
          <w:i w:val="1"/>
          <w:iCs w:val="1"/>
          <w:rtl w:val="0"/>
          <w:lang w:val="fr-FR"/>
        </w:rPr>
        <w:t>é</w:t>
      </w: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A</w:t>
      </w:r>
      <w:r>
        <w:rPr>
          <w:rtl w:val="0"/>
        </w:rPr>
        <w:t>fin d</w:t>
      </w:r>
      <w:r>
        <w:rPr>
          <w:rtl w:val="0"/>
        </w:rPr>
        <w:t>’</w:t>
      </w:r>
      <w:r>
        <w:rPr>
          <w:rtl w:val="0"/>
        </w:rPr>
        <w:t>augmenter la dimension p</w:t>
      </w:r>
      <w:r>
        <w:rPr>
          <w:rtl w:val="0"/>
        </w:rPr>
        <w:t>é</w:t>
      </w:r>
      <w:r>
        <w:rPr>
          <w:rtl w:val="0"/>
        </w:rPr>
        <w:t>dagogique, le site retenu devra avoir une diversit</w:t>
      </w:r>
      <w:r>
        <w:rPr>
          <w:rtl w:val="0"/>
        </w:rPr>
        <w:t xml:space="preserve">é </w:t>
      </w:r>
      <w:r>
        <w:rPr>
          <w:rtl w:val="0"/>
        </w:rPr>
        <w:t xml:space="preserve">suffisante en termes </w:t>
      </w:r>
      <w:r>
        <w:rPr>
          <w:rtl w:val="0"/>
        </w:rPr>
        <w:t xml:space="preserve">de peuplements </w:t>
      </w:r>
      <w:r>
        <w:rPr>
          <w:rtl w:val="0"/>
        </w:rPr>
        <w:t>et de stations.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Disponibilit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des donn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</w:t>
      </w:r>
    </w:p>
    <w:p>
      <w:pPr>
        <w:pStyle w:val="Corps"/>
        <w:bidi w:val="0"/>
      </w:pPr>
      <w:r>
        <w:rPr>
          <w:rtl w:val="0"/>
        </w:rPr>
        <w:t>Elles</w:t>
      </w:r>
      <w:r>
        <w:rPr>
          <w:rtl w:val="0"/>
        </w:rPr>
        <w:t xml:space="preserve"> doivent </w:t>
      </w:r>
      <w:r>
        <w:rPr>
          <w:rtl w:val="0"/>
        </w:rPr>
        <w:t>ê</w:t>
      </w:r>
      <w:r>
        <w:rPr>
          <w:rtl w:val="0"/>
        </w:rPr>
        <w:t xml:space="preserve">tre disponibles </w:t>
      </w:r>
      <w:r>
        <w:rPr>
          <w:rtl w:val="0"/>
        </w:rPr>
        <w:t xml:space="preserve">et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  <w:lang w:val="it-IT"/>
        </w:rPr>
        <w:t>cente</w:t>
      </w:r>
      <w:r>
        <w:rPr>
          <w:rtl w:val="0"/>
        </w:rPr>
        <w:t>s</w:t>
      </w:r>
      <w:r>
        <w:rPr>
          <w:rtl w:val="0"/>
        </w:rPr>
        <w:t>.</w:t>
      </w:r>
      <w:r>
        <w:rPr>
          <w:rtl w:val="0"/>
        </w:rPr>
        <w:t xml:space="preserve"> Cela concerne aussi bien les donn</w:t>
      </w:r>
      <w:r>
        <w:rPr>
          <w:rtl w:val="0"/>
        </w:rPr>
        <w:t>é</w:t>
      </w:r>
      <w:r>
        <w:rPr>
          <w:rtl w:val="0"/>
        </w:rPr>
        <w:t>es sur le site que celles autour du site.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jc w:val="both"/>
      </w:pPr>
      <w:bookmarkStart w:name="_Toc2" w:id="2"/>
      <w:r>
        <w:rPr>
          <w:rtl w:val="0"/>
          <w:lang w:val="fr-FR"/>
        </w:rPr>
        <w:t>Organisation informatique</w:t>
      </w:r>
      <w:bookmarkEnd w:id="2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Chaque projet d</w:t>
      </w:r>
      <w:r>
        <w:rPr>
          <w:rtl w:val="0"/>
        </w:rPr>
        <w:t>’</w:t>
      </w:r>
      <w:r>
        <w:rPr>
          <w:rtl w:val="0"/>
        </w:rPr>
        <w:t>iloscope sera organis</w:t>
      </w:r>
      <w:r>
        <w:rPr>
          <w:rtl w:val="0"/>
        </w:rPr>
        <w:t xml:space="preserve">é </w:t>
      </w:r>
      <w:r>
        <w:rPr>
          <w:rtl w:val="0"/>
        </w:rPr>
        <w:t>de la mati</w:t>
      </w:r>
      <w:r>
        <w:rPr>
          <w:rtl w:val="0"/>
        </w:rPr>
        <w:t>è</w:t>
      </w:r>
      <w:r>
        <w:rPr>
          <w:rtl w:val="0"/>
        </w:rPr>
        <w:t>re suivante en dossier et sous-dossiers.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237526</wp:posOffset>
            </wp:positionV>
            <wp:extent cx="2315718" cy="38012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18" cy="3801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Au niveau sup</w:t>
      </w:r>
      <w:r>
        <w:rPr>
          <w:rtl w:val="0"/>
        </w:rPr>
        <w:t>é</w:t>
      </w:r>
      <w:r>
        <w:rPr>
          <w:rtl w:val="0"/>
        </w:rPr>
        <w:t xml:space="preserve">rieur il comprendra :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classeur Excel qui listera les informations disponibles.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Rasters qui contiendra </w:t>
      </w:r>
    </w:p>
    <w:p>
      <w:pPr>
        <w:pStyle w:val="Corps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</w:pPr>
      <w:r>
        <w:rPr>
          <w:rtl w:val="0"/>
        </w:rPr>
        <w:tab/>
        <w:tab/>
        <w:t>- Les fonds. Le fichier au format .tif sera retenu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impression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sultats. </w:t>
      </w:r>
    </w:p>
    <w:p>
      <w:pPr>
        <w:pStyle w:val="Corps"/>
        <w:tabs>
          <w:tab w:val="left" w:pos="567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  <w:ind w:left="567" w:hanging="567"/>
      </w:pPr>
      <w:r>
        <w:rPr>
          <w:rtl w:val="0"/>
        </w:rPr>
        <w:tab/>
        <w:tab/>
        <w:t>- Des images utiles pour le rapport : logos,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mas, </w:t>
      </w:r>
      <w:r>
        <w:rPr>
          <w:rtl w:val="0"/>
          <w:lang w:val="fr-FR"/>
        </w:rPr>
        <w:t>…</w:t>
      </w:r>
    </w:p>
    <w:p>
      <w:pPr>
        <w:pStyle w:val="Corps"/>
        <w:tabs>
          <w:tab w:val="left" w:pos="567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  <w:ind w:left="567" w:hanging="567"/>
      </w:pPr>
      <w:r>
        <w:rPr>
          <w:rtl w:val="0"/>
        </w:rPr>
        <w:tab/>
        <w:tab/>
        <w:t>- Les fichiers au format gpkg seront construits par 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krigeage.</w:t>
      </w:r>
    </w:p>
    <w:p>
      <w:pPr>
        <w:pStyle w:val="Corps"/>
        <w:tabs>
          <w:tab w:val="left" w:pos="567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  <w:ind w:left="567" w:hanging="567"/>
      </w:pPr>
      <w:r>
        <w:rPr>
          <w:rtl w:val="0"/>
          <w:lang w:val="fr-FR"/>
        </w:rPr>
        <w:t xml:space="preserve"> </w:t>
        <w:tab/>
        <w:tab/>
        <w:t>-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informations comme par exemple des orthophotos.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Vecteurs qui </w:t>
      </w:r>
      <w:r>
        <w:rPr>
          <w:rtl w:val="0"/>
        </w:rPr>
        <w:t>contiendra</w:t>
      </w:r>
      <w:r>
        <w:rPr>
          <w:rtl w:val="0"/>
        </w:rPr>
        <w:t xml:space="preserve"> toutes les donn</w:t>
      </w:r>
      <w:r>
        <w:rPr>
          <w:rtl w:val="0"/>
        </w:rPr>
        <w:t>é</w:t>
      </w:r>
      <w:r>
        <w:rPr>
          <w:rtl w:val="0"/>
        </w:rPr>
        <w:t>es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es du type polygone, ligne ou point.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Table qui contiendra une ou plusieurs archives au format .Rdata. Ces archives contiendront l</w:t>
      </w:r>
      <w:r>
        <w:rPr>
          <w:rtl w:val="0"/>
        </w:rPr>
        <w:t>’</w:t>
      </w:r>
      <w:r>
        <w:rPr>
          <w:rtl w:val="0"/>
        </w:rPr>
        <w:t>ensemble des informations du dossier vecteurs. Elles seront cr</w:t>
      </w:r>
      <w:r>
        <w:rPr>
          <w:rtl w:val="0"/>
        </w:rPr>
        <w:t>éé</w:t>
      </w:r>
      <w:r>
        <w:rPr>
          <w:rtl w:val="0"/>
        </w:rPr>
        <w:t>es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la fonction d</w:t>
      </w:r>
      <w:r>
        <w:rPr>
          <w:rtl w:val="0"/>
        </w:rPr>
        <w:t>’</w:t>
      </w:r>
      <w:r>
        <w:rPr>
          <w:rtl w:val="0"/>
        </w:rPr>
        <w:t>import.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fichier au format .qgz qui permettra de lancer l</w:t>
      </w:r>
      <w:r>
        <w:rPr>
          <w:rtl w:val="0"/>
        </w:rPr>
        <w:t>’</w:t>
      </w:r>
      <w:r>
        <w:rPr>
          <w:rtl w:val="0"/>
        </w:rPr>
        <w:t>application QGIS.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Afin de limiter le nombre de fichiers dans les dossiers, les donn</w:t>
      </w:r>
      <w:r>
        <w:rPr>
          <w:rtl w:val="0"/>
        </w:rPr>
        <w:t>é</w:t>
      </w:r>
      <w:r>
        <w:rPr>
          <w:rtl w:val="0"/>
        </w:rPr>
        <w:t>es vectorielles seront enregistr</w:t>
      </w:r>
      <w:r>
        <w:rPr>
          <w:rtl w:val="0"/>
        </w:rPr>
        <w:t>é</w:t>
      </w:r>
      <w:r>
        <w:rPr>
          <w:rtl w:val="0"/>
        </w:rPr>
        <w:t>es de mani</w:t>
      </w:r>
      <w:r>
        <w:rPr>
          <w:rtl w:val="0"/>
        </w:rPr>
        <w:t>è</w:t>
      </w:r>
      <w:r>
        <w:rPr>
          <w:rtl w:val="0"/>
        </w:rPr>
        <w:t>re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rentielle mais non obligatoire au format .gpkg. Il a l</w:t>
      </w:r>
      <w:r>
        <w:rPr>
          <w:rtl w:val="0"/>
        </w:rPr>
        <w:t>’</w:t>
      </w:r>
      <w:r>
        <w:rPr>
          <w:rtl w:val="0"/>
        </w:rPr>
        <w:t>avantage de concentrer en un seul fichier toutes les infos utiles : syst</w:t>
      </w:r>
      <w:r>
        <w:rPr>
          <w:rtl w:val="0"/>
        </w:rPr>
        <w:t>è</w:t>
      </w:r>
      <w:r>
        <w:rPr>
          <w:rtl w:val="0"/>
        </w:rPr>
        <w:t>me de projection, table attributaire, coordonn</w:t>
      </w:r>
      <w:r>
        <w:rPr>
          <w:rtl w:val="0"/>
        </w:rPr>
        <w:t>é</w:t>
      </w:r>
      <w:r>
        <w:rPr>
          <w:rtl w:val="0"/>
        </w:rPr>
        <w:t xml:space="preserve">es, </w:t>
      </w:r>
      <w:r>
        <w:rPr>
          <w:rtl w:val="0"/>
        </w:rPr>
        <w:t xml:space="preserve">…  </w:t>
      </w:r>
      <w:r>
        <w:rPr>
          <w:rtl w:val="0"/>
        </w:rPr>
        <w:t xml:space="preserve">Il est </w:t>
      </w:r>
      <w:r>
        <w:rPr>
          <w:rtl w:val="0"/>
        </w:rPr>
        <w:t>é</w:t>
      </w:r>
      <w:r>
        <w:rPr>
          <w:rtl w:val="0"/>
        </w:rPr>
        <w:t>galement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rable que les tables attributaires soient r</w:t>
      </w:r>
      <w:r>
        <w:rPr>
          <w:rtl w:val="0"/>
        </w:rPr>
        <w:t>é</w:t>
      </w:r>
      <w:r>
        <w:rPr>
          <w:rtl w:val="0"/>
        </w:rPr>
        <w:t>duites aux seules colonnes strictement n</w:t>
      </w:r>
      <w:r>
        <w:rPr>
          <w:rtl w:val="0"/>
        </w:rPr>
        <w:t>é</w:t>
      </w:r>
      <w:r>
        <w:rPr>
          <w:rtl w:val="0"/>
        </w:rPr>
        <w:t>cessaires.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partition des informations entre le classeur Excel et les fichiers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s est la suivante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Les fichiers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s (format .shp ou mieux .gpkg) contiennent les coordonn</w:t>
      </w:r>
      <w:r>
        <w:rPr>
          <w:rtl w:val="0"/>
        </w:rPr>
        <w:t>é</w:t>
      </w:r>
      <w:r>
        <w:rPr>
          <w:rtl w:val="0"/>
        </w:rPr>
        <w:t>es et les identifiants des objects.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classeur Excel contient les informations que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rateur pourra facilement mettre </w:t>
      </w:r>
      <w:r>
        <w:rPr>
          <w:rtl w:val="0"/>
        </w:rPr>
        <w:t xml:space="preserve">à </w:t>
      </w:r>
      <w:r>
        <w:rPr>
          <w:rtl w:val="0"/>
        </w:rPr>
        <w:t>jour.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bidi w:val="0"/>
      </w:pPr>
      <w:bookmarkStart w:name="_Toc3" w:id="3"/>
      <w:r>
        <w:rPr>
          <w:rFonts w:cs="Arial Unicode MS" w:eastAsia="Arial Unicode MS"/>
          <w:rtl w:val="0"/>
          <w:lang w:val="de-DE"/>
        </w:rPr>
        <w:t>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cessaires</w:t>
      </w:r>
      <w:bookmarkEnd w:id="3"/>
    </w:p>
    <w:p>
      <w:pPr>
        <w:pStyle w:val="Corps"/>
        <w:bidi w:val="0"/>
      </w:pPr>
      <w:r>
        <w:rPr>
          <w:rtl w:val="0"/>
        </w:rPr>
        <w:t>Plus le site sera document</w:t>
      </w:r>
      <w:r>
        <w:rPr>
          <w:rtl w:val="0"/>
        </w:rPr>
        <w:t>é</w:t>
      </w:r>
      <w:r>
        <w:rPr>
          <w:rtl w:val="0"/>
        </w:rPr>
        <w:t>, plus l</w:t>
      </w:r>
      <w:r>
        <w:rPr>
          <w:rtl w:val="1"/>
        </w:rPr>
        <w:t>’</w:t>
      </w:r>
      <w:r>
        <w:rPr>
          <w:rtl w:val="0"/>
        </w:rPr>
        <w:t>exercice sera int</w:t>
      </w:r>
      <w:r>
        <w:rPr>
          <w:rtl w:val="0"/>
        </w:rPr>
        <w:t>é</w:t>
      </w:r>
      <w:r>
        <w:rPr>
          <w:rtl w:val="0"/>
          <w:lang w:val="it-IT"/>
        </w:rPr>
        <w:t>ressant.</w:t>
      </w:r>
      <w:r>
        <w:rPr>
          <w:rtl w:val="0"/>
        </w:rPr>
        <w:t xml:space="preserve"> </w:t>
      </w:r>
      <w:r>
        <w:rPr>
          <w:rtl w:val="0"/>
        </w:rPr>
        <w:t>Pour limiter le prix d</w:t>
      </w:r>
      <w:r>
        <w:rPr>
          <w:rtl w:val="1"/>
        </w:rPr>
        <w:t>’</w:t>
      </w:r>
      <w:r>
        <w:rPr>
          <w:rtl w:val="0"/>
        </w:rPr>
        <w:t>installation de l</w:t>
      </w:r>
      <w:r>
        <w:rPr>
          <w:rtl w:val="0"/>
        </w:rPr>
        <w:t>’î</w:t>
      </w:r>
      <w:r>
        <w:rPr>
          <w:rtl w:val="0"/>
        </w:rPr>
        <w:t>loscope, il est int</w:t>
      </w:r>
      <w:r>
        <w:rPr>
          <w:rtl w:val="0"/>
        </w:rPr>
        <w:t>é</w:t>
      </w:r>
      <w:r>
        <w:rPr>
          <w:rtl w:val="0"/>
        </w:rPr>
        <w:t>ressant de coupler la d</w:t>
      </w:r>
      <w:r>
        <w:rPr>
          <w:rtl w:val="0"/>
        </w:rPr>
        <w:t>é</w:t>
      </w:r>
      <w:r>
        <w:rPr>
          <w:rtl w:val="0"/>
        </w:rPr>
        <w:t xml:space="preserve">marche </w:t>
      </w:r>
      <w:r>
        <w:rPr>
          <w:rtl w:val="0"/>
        </w:rPr>
        <w:t xml:space="preserve">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vision de l</w:t>
      </w:r>
      <w:r>
        <w:rPr>
          <w:rtl w:val="1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nagement ou du plan de gestion.</w:t>
      </w:r>
      <w:r>
        <w:rPr>
          <w:rtl w:val="0"/>
        </w:rPr>
        <w:t xml:space="preserve"> Il est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rable que les tables attributaires ne contiennent que les champs utiles indiqu</w:t>
      </w:r>
      <w:r>
        <w:rPr>
          <w:rtl w:val="0"/>
        </w:rPr>
        <w:t>é</w:t>
      </w:r>
      <w:r>
        <w:rPr>
          <w:rtl w:val="0"/>
        </w:rPr>
        <w:t>s dans la colonne Obligations du tableau ci-dessous.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3"/>
        <w:gridCol w:w="1528"/>
        <w:gridCol w:w="3310"/>
        <w:gridCol w:w="32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Th</w:t>
            </w:r>
            <w:r>
              <w:rPr>
                <w:rFonts w:ascii="Helvetica Neue" w:hAnsi="Helvetica Neue" w:hint="default"/>
                <w:rtl w:val="0"/>
              </w:rPr>
              <w:t>è</w:t>
            </w:r>
            <w:r>
              <w:rPr>
                <w:rFonts w:ascii="Helvetica Neue" w:hAnsi="Helvetica Neue"/>
                <w:rtl w:val="0"/>
              </w:rPr>
              <w:t>me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Donn</w:t>
            </w:r>
            <w:r>
              <w:rPr>
                <w:rFonts w:ascii="Helvetica Neue" w:hAnsi="Helvetica Neue" w:hint="default"/>
                <w:rtl w:val="0"/>
              </w:rPr>
              <w:t>é</w:t>
            </w:r>
            <w:r>
              <w:rPr>
                <w:rFonts w:ascii="Helvetica Neue" w:hAnsi="Helvetica Neue"/>
                <w:rtl w:val="0"/>
              </w:rPr>
              <w:t>es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Sources et format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Obligations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Support cartographique</w:t>
            </w:r>
          </w:p>
        </w:tc>
        <w:tc>
          <w:tcPr>
            <w:tcW w:type="dxa" w:w="152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 xml:space="preserve">Scan 25 ou 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é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>quivalent</w:t>
            </w:r>
          </w:p>
        </w:tc>
        <w:tc>
          <w:tcPr>
            <w:tcW w:type="dxa" w:w="33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IGN, OpenStreetMap (gratuit), image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e, ..</w:t>
            </w:r>
          </w:p>
        </w:tc>
        <w:tc>
          <w:tcPr>
            <w:tcW w:type="dxa" w:w="32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gestion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Parcellaire forestier.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Fourni par le propri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taire ou le gestionnaire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Doit contenir les champs NumPar et UG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Route, piste, sentier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BD-CARTO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IGN, Open Street Map, gestionnaire,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Peuplements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Gestionnaire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Doit contenir le champ TYPE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Placettes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bidi w:val="0"/>
      </w:pPr>
      <w:bookmarkStart w:name="_Toc4" w:id="4"/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/>
          <w:rtl w:val="0"/>
          <w:lang w:val="fr-FR"/>
        </w:rPr>
        <w:t>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optionnelles</w:t>
      </w:r>
      <w:bookmarkEnd w:id="4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Les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fonctions</w:t>
      </w:r>
      <w:bookmarkEnd w:id="5"/>
    </w:p>
    <w:p>
      <w:pPr>
        <w:pStyle w:val="Corps"/>
        <w:bidi w:val="0"/>
      </w:pPr>
    </w:p>
    <w:p>
      <w:pPr>
        <w:pStyle w:val="Titre1"/>
        <w:bidi w:val="0"/>
      </w:pPr>
      <w:bookmarkStart w:name="_Toc6" w:id="6"/>
      <w:r>
        <w:rPr>
          <w:rFonts w:cs="Arial Unicode MS" w:eastAsia="Arial Unicode MS"/>
          <w:rtl w:val="0"/>
          <w:lang w:val="fr-FR"/>
        </w:rPr>
        <w:t xml:space="preserve">Fonction : </w:t>
      </w:r>
      <w:r>
        <w:rPr>
          <w:rFonts w:cs="Arial Unicode MS" w:eastAsia="Arial Unicode MS"/>
          <w:rtl w:val="0"/>
        </w:rPr>
        <w:t>IlotDataImpor</w:t>
      </w:r>
      <w:r>
        <w:rPr>
          <w:rFonts w:cs="Arial Unicode MS" w:eastAsia="Arial Unicode MS"/>
          <w:rtl w:val="0"/>
          <w:lang w:val="fr-FR"/>
        </w:rPr>
        <w:t>t</w:t>
      </w:r>
      <w:bookmarkEnd w:id="6"/>
    </w:p>
    <w:p>
      <w:pPr>
        <w:pStyle w:val="Corps"/>
        <w:bidi w:val="0"/>
      </w:pPr>
      <w:r>
        <w:rPr>
          <w:rtl w:val="0"/>
        </w:rPr>
        <w:t>Elle l</w:t>
      </w:r>
      <w:r>
        <w:rPr>
          <w:rtl w:val="0"/>
        </w:rPr>
        <w:t>iste et import</w:t>
      </w:r>
      <w:r>
        <w:rPr>
          <w:rtl w:val="0"/>
        </w:rPr>
        <w:t>e</w:t>
      </w:r>
      <w:r>
        <w:rPr>
          <w:rtl w:val="0"/>
        </w:rPr>
        <w:t xml:space="preserve"> les couches vecteurs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cessaires</w:t>
      </w:r>
      <w:r>
        <w:rPr>
          <w:rtl w:val="0"/>
          <w:lang w:val="es-ES_tradnl"/>
        </w:rPr>
        <w:t xml:space="preserve"> a l</w:t>
      </w:r>
      <w:r>
        <w:rPr>
          <w:rtl w:val="0"/>
        </w:rPr>
        <w:t>’</w:t>
      </w:r>
      <w:r>
        <w:rPr>
          <w:rtl w:val="0"/>
          <w:lang w:val="it-IT"/>
        </w:rPr>
        <w:t>iloscope</w:t>
      </w:r>
      <w:r>
        <w:rPr>
          <w:rtl w:val="0"/>
        </w:rPr>
        <w:t>. Elle commence par lire le fichier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>tre, puis l</w:t>
      </w:r>
      <w:r>
        <w:rPr>
          <w:rtl w:val="0"/>
        </w:rPr>
        <w:t>’</w:t>
      </w:r>
      <w:r>
        <w:rPr>
          <w:rtl w:val="0"/>
        </w:rPr>
        <w:t>ensemble des couches d</w:t>
      </w:r>
      <w:r>
        <w:rPr>
          <w:rtl w:val="0"/>
        </w:rPr>
        <w:t>é</w:t>
      </w:r>
      <w:r>
        <w:rPr>
          <w:rtl w:val="0"/>
        </w:rPr>
        <w:t>fini dans le classeur Couches.xlsx. Chaque couche est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ramen</w:t>
      </w:r>
      <w:r>
        <w:rPr>
          <w:rtl w:val="0"/>
        </w:rPr>
        <w:t>é</w:t>
      </w:r>
      <w:r>
        <w:rPr>
          <w:rtl w:val="0"/>
        </w:rPr>
        <w:t>e au syst</w:t>
      </w:r>
      <w:r>
        <w:rPr>
          <w:rtl w:val="0"/>
        </w:rPr>
        <w:t>è</w:t>
      </w:r>
      <w:r>
        <w:rPr>
          <w:rtl w:val="0"/>
        </w:rPr>
        <w:t xml:space="preserve">me de projection </w:t>
      </w:r>
      <w:r>
        <w:rPr>
          <w:rtl w:val="0"/>
        </w:rPr>
        <w:t>RGF93 Lambert 93</w:t>
      </w:r>
      <w:r>
        <w:rPr>
          <w:rtl w:val="0"/>
        </w:rPr>
        <w:t xml:space="preserve">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</w:t>
      </w:r>
      <w:r>
        <w:rPr>
          <w:rtl w:val="0"/>
        </w:rPr>
        <w:t>é</w:t>
      </w:r>
      <w:r>
        <w:rPr>
          <w:rtl w:val="0"/>
        </w:rPr>
        <w:t>e selon le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 xml:space="preserve">tre en appliquant </w:t>
      </w:r>
      <w:r>
        <w:rPr>
          <w:rtl w:val="0"/>
        </w:rPr>
        <w:t xml:space="preserve">à </w:t>
      </w:r>
      <w:r>
        <w:rPr>
          <w:rtl w:val="0"/>
        </w:rPr>
        <w:t>ce dernier un buffet d</w:t>
      </w:r>
      <w:r>
        <w:rPr>
          <w:rtl w:val="0"/>
        </w:rPr>
        <w:t>é</w:t>
      </w:r>
      <w:r>
        <w:rPr>
          <w:rtl w:val="0"/>
        </w:rPr>
        <w:t>fini par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rateur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duite </w:t>
      </w:r>
      <w:r>
        <w:rPr>
          <w:rtl w:val="0"/>
        </w:rPr>
        <w:t xml:space="preserve">à </w:t>
      </w:r>
      <w:r>
        <w:rPr>
          <w:rtl w:val="0"/>
        </w:rPr>
        <w:t>la colonne dont le nom est d</w:t>
      </w:r>
      <w:r>
        <w:rPr>
          <w:rtl w:val="0"/>
        </w:rPr>
        <w:t>é</w:t>
      </w:r>
      <w:r>
        <w:rPr>
          <w:rtl w:val="0"/>
        </w:rPr>
        <w:t xml:space="preserve">fini dans la colonne Champ de la feuille </w:t>
      </w:r>
      <w:r>
        <w:rPr>
          <w:rtl w:val="0"/>
        </w:rPr>
        <w:t>« </w:t>
      </w:r>
      <w:r>
        <w:rPr>
          <w:rtl w:val="0"/>
        </w:rPr>
        <w:t>Couches</w:t>
      </w:r>
      <w:r>
        <w:rPr>
          <w:rtl w:val="0"/>
        </w:rPr>
        <w:t xml:space="preserve"> » 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ensemble des objets cr</w:t>
      </w:r>
      <w:r>
        <w:rPr>
          <w:rtl w:val="0"/>
        </w:rPr>
        <w:t>éé</w:t>
      </w:r>
      <w:r>
        <w:rPr>
          <w:rtl w:val="0"/>
        </w:rPr>
        <w:t>s sont enregistr</w:t>
      </w:r>
      <w:r>
        <w:rPr>
          <w:rtl w:val="0"/>
        </w:rPr>
        <w:t>é</w:t>
      </w:r>
      <w:r>
        <w:rPr>
          <w:rtl w:val="0"/>
        </w:rPr>
        <w:t>s au format .Rdata avec le nom d</w:t>
      </w:r>
      <w:r>
        <w:rPr>
          <w:rtl w:val="0"/>
        </w:rPr>
        <w:t>é</w:t>
      </w:r>
      <w:r>
        <w:rPr>
          <w:rtl w:val="0"/>
        </w:rPr>
        <w:t>fini dans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Style w:val="Aucun"/>
          <w:rFonts w:ascii="Courier" w:hAnsi="Courier"/>
          <w:rtl w:val="0"/>
          <w:lang w:val="fr-FR"/>
        </w:rPr>
        <w:t>projet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 de bas de page"/>
      </w:pPr>
      <w:r>
        <w:rPr>
          <w:rStyle w:val="Aucun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installation d</w:t>
      </w:r>
      <w:r>
        <w:rPr>
          <w:sz w:val="20"/>
          <w:szCs w:val="20"/>
          <w:rtl w:val="0"/>
        </w:rPr>
        <w:t>’î</w:t>
      </w:r>
      <w:r>
        <w:rPr>
          <w:sz w:val="20"/>
          <w:szCs w:val="20"/>
          <w:rtl w:val="0"/>
          <w:lang w:val="fr-FR"/>
        </w:rPr>
        <w:t>lots de 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nescence peut avoir un r</w:t>
      </w:r>
      <w:r>
        <w:rPr>
          <w:sz w:val="20"/>
          <w:szCs w:val="20"/>
          <w:rtl w:val="0"/>
        </w:rPr>
        <w:t>ô</w:t>
      </w:r>
      <w:r>
        <w:rPr>
          <w:sz w:val="20"/>
          <w:szCs w:val="20"/>
          <w:rtl w:val="0"/>
          <w:lang w:val="fr-FR"/>
        </w:rPr>
        <w:t>le de mesures compensatoires. Sinon, des subventions sont possibles dans le cadre de Natura 2000 (zones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guli</w:t>
      </w:r>
      <w:r>
        <w:rPr>
          <w:sz w:val="20"/>
          <w:szCs w:val="20"/>
          <w:rtl w:val="0"/>
          <w:lang w:val="it-IT"/>
        </w:rPr>
        <w:t>è</w:t>
      </w:r>
      <w:r>
        <w:rPr>
          <w:sz w:val="20"/>
          <w:szCs w:val="20"/>
          <w:rtl w:val="0"/>
          <w:lang w:val="fr-FR"/>
        </w:rPr>
        <w:t>rement exploit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es).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Fonts w:ascii="Arial" w:hAnsi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tab/>
      <w:tab/>
    </w:r>
    <w:r>
      <w:rPr>
        <w:rFonts w:ascii="Arial" w:hAnsi="Arial"/>
        <w:outline w:val="0"/>
        <w:color w:val="935100"/>
        <w:sz w:val="18"/>
        <w:szCs w:val="18"/>
        <w:rtl w:val="0"/>
        <w:lang w:val="fr-FR"/>
        <w14:textFill>
          <w14:solidFill>
            <w14:srgbClr w14:val="945200"/>
          </w14:solidFill>
        </w14:textFill>
      </w:rPr>
      <w:t xml:space="preserve">Page 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instrText xml:space="preserve"> PAGE </w:instrTex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t>3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end" w:fldLock="0"/>
    </w:r>
    <w:r>
      <w:rPr>
        <w:rFonts w:ascii="Arial" w:hAnsi="Arial"/>
        <w:outline w:val="0"/>
        <w:color w:val="935100"/>
        <w:sz w:val="18"/>
        <w:szCs w:val="18"/>
        <w:rtl w:val="0"/>
        <w:lang w:val="fr-FR"/>
        <w14:textFill>
          <w14:solidFill>
            <w14:srgbClr w14:val="945200"/>
          </w14:solidFill>
        </w14:textFill>
      </w:rPr>
      <w:t>/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instrText xml:space="preserve"> NUMPAGES </w:instrTex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t>4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rosse puce"/>
  </w:abstractNum>
  <w:abstractNum w:abstractNumId="1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table matière">
    <w:name w:val="Titre table matière"/>
    <w:next w:val="Titre table matiè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3FF"/>
        </w14:solidFill>
      </w14:textFill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rPr>
      <w:rFonts w:ascii="Times New Roman" w:cs="Times New Roman" w:hAnsi="Times New Roman" w:eastAsia="Times New Roman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433FF"/>
        </w14:solidFill>
      </w14:textFill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 parent"/>
    <w:next w:val="TOC 2 parent"/>
    <w:pPr>
      <w:spacing w:before="100"/>
      <w:ind w:firstLine="283"/>
    </w:pPr>
    <w:rPr>
      <w:sz w:val="22"/>
      <w:szCs w:val="22"/>
    </w:rPr>
  </w:style>
  <w:style w:type="paragraph" w:styleId="Titre1">
    <w:name w:val="Titre1"/>
    <w:next w:val="Titre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Grosse puce">
    <w:name w:val="Grosse puce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