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76" w:lineRule="auto" w:before="60"/>
      </w:pPr>
      <w:r>
        <w:rPr/>
        <w:t>Project</w:t>
      </w:r>
      <w:r>
        <w:rPr>
          <w:spacing w:val="-28"/>
        </w:rPr>
        <w:t> </w:t>
      </w:r>
      <w:r>
        <w:rPr/>
        <w:t>Report:</w:t>
      </w:r>
      <w:r>
        <w:rPr>
          <w:spacing w:val="-27"/>
        </w:rPr>
        <w:t> </w:t>
      </w:r>
      <w:r>
        <w:rPr/>
        <w:t>COMPARATIVE</w:t>
      </w:r>
      <w:r>
        <w:rPr>
          <w:spacing w:val="-28"/>
        </w:rPr>
        <w:t> </w:t>
      </w:r>
      <w:r>
        <w:rPr/>
        <w:t>FLOOD</w:t>
      </w:r>
      <w:r>
        <w:rPr>
          <w:spacing w:val="-27"/>
        </w:rPr>
        <w:t> </w:t>
      </w:r>
      <w:r>
        <w:rPr/>
        <w:t>RIS</w:t>
      </w:r>
      <w:r>
        <w:rPr/>
        <w:t>K</w:t>
      </w:r>
      <w:r>
        <w:rPr/>
        <w:t> AND VULNERABILITY ASSESSMENT</w:t>
      </w:r>
    </w:p>
    <w:p>
      <w:pPr>
        <w:pStyle w:val="BodyText"/>
        <w:spacing w:before="0"/>
        <w:jc w:val="left"/>
        <w:rPr>
          <w:b/>
          <w:sz w:val="44"/>
        </w:rPr>
      </w:pPr>
    </w:p>
    <w:p>
      <w:pPr>
        <w:pStyle w:val="BodyText"/>
        <w:spacing w:before="0"/>
        <w:jc w:val="left"/>
        <w:rPr>
          <w:b/>
          <w:sz w:val="44"/>
        </w:rPr>
      </w:pPr>
    </w:p>
    <w:p>
      <w:pPr>
        <w:pStyle w:val="BodyText"/>
        <w:spacing w:before="0"/>
        <w:jc w:val="left"/>
        <w:rPr>
          <w:b/>
          <w:sz w:val="44"/>
        </w:rPr>
      </w:pPr>
    </w:p>
    <w:p>
      <w:pPr>
        <w:pStyle w:val="BodyText"/>
        <w:spacing w:before="0"/>
        <w:jc w:val="left"/>
        <w:rPr>
          <w:b/>
          <w:sz w:val="44"/>
        </w:rPr>
      </w:pPr>
    </w:p>
    <w:p>
      <w:pPr>
        <w:pStyle w:val="BodyText"/>
        <w:spacing w:before="103"/>
        <w:jc w:val="left"/>
        <w:rPr>
          <w:b/>
          <w:sz w:val="44"/>
        </w:rPr>
      </w:pPr>
    </w:p>
    <w:p>
      <w:pPr>
        <w:pStyle w:val="Title"/>
        <w:spacing w:line="276" w:lineRule="auto"/>
        <w:ind w:right="718"/>
      </w:pPr>
      <w:r>
        <w:rPr/>
        <w:t>A</w:t>
      </w:r>
      <w:r>
        <w:rPr>
          <w:spacing w:val="-8"/>
        </w:rPr>
        <w:t> </w:t>
      </w:r>
      <w:r>
        <w:rPr/>
        <w:t>GIS-Based</w:t>
      </w:r>
      <w:r>
        <w:rPr>
          <w:spacing w:val="-8"/>
        </w:rPr>
        <w:t> </w:t>
      </w:r>
      <w:r>
        <w:rPr/>
        <w:t>Comparison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Hardoi</w:t>
      </w:r>
      <w:r>
        <w:rPr>
          <w:spacing w:val="-8"/>
        </w:rPr>
        <w:t> </w:t>
      </w:r>
      <w:r>
        <w:rPr/>
        <w:t>District</w:t>
      </w:r>
      <w:r>
        <w:rPr/>
        <w:t>,</w:t>
      </w:r>
      <w:r>
        <w:rPr/>
        <w:t> Uttar Pradesh and Cachar District, Assam</w:t>
      </w:r>
    </w:p>
    <w:p>
      <w:pPr>
        <w:pStyle w:val="BodyText"/>
        <w:spacing w:before="0"/>
        <w:jc w:val="left"/>
        <w:rPr>
          <w:b/>
          <w:sz w:val="44"/>
        </w:rPr>
      </w:pPr>
    </w:p>
    <w:p>
      <w:pPr>
        <w:pStyle w:val="BodyText"/>
        <w:spacing w:before="378"/>
        <w:jc w:val="left"/>
        <w:rPr>
          <w:b/>
          <w:sz w:val="44"/>
        </w:rPr>
      </w:pPr>
    </w:p>
    <w:p>
      <w:pPr>
        <w:spacing w:line="276" w:lineRule="auto" w:before="0"/>
        <w:ind w:left="3293" w:right="3984" w:hanging="28"/>
        <w:jc w:val="both"/>
        <w:rPr>
          <w:b/>
          <w:sz w:val="32"/>
        </w:rPr>
      </w:pPr>
      <w:r>
        <w:rPr>
          <w:b/>
          <w:sz w:val="32"/>
        </w:rPr>
        <w:t>Study</w:t>
      </w:r>
      <w:r>
        <w:rPr>
          <w:b/>
          <w:spacing w:val="-19"/>
          <w:sz w:val="32"/>
        </w:rPr>
        <w:t> </w:t>
      </w:r>
      <w:r>
        <w:rPr>
          <w:b/>
          <w:sz w:val="32"/>
        </w:rPr>
        <w:t>Submitted</w:t>
      </w:r>
      <w:r>
        <w:rPr>
          <w:b/>
          <w:spacing w:val="-19"/>
          <w:sz w:val="32"/>
        </w:rPr>
        <w:t> </w:t>
      </w:r>
      <w:r>
        <w:rPr>
          <w:b/>
          <w:sz w:val="32"/>
        </w:rPr>
        <w:t>by</w:t>
      </w:r>
      <w:r>
        <w:rPr>
          <w:b/>
          <w:sz w:val="32"/>
        </w:rPr>
        <w:t>:</w:t>
      </w:r>
      <w:r>
        <w:rPr>
          <w:b/>
          <w:sz w:val="32"/>
        </w:rPr>
        <w:t> 02:</w:t>
      </w:r>
      <w:r>
        <w:rPr>
          <w:b/>
          <w:spacing w:val="-1"/>
          <w:sz w:val="32"/>
        </w:rPr>
        <w:t> </w:t>
      </w:r>
      <w:r>
        <w:rPr>
          <w:b/>
          <w:sz w:val="32"/>
        </w:rPr>
        <w:t>Manas</w:t>
      </w:r>
      <w:r>
        <w:rPr>
          <w:b/>
          <w:spacing w:val="-1"/>
          <w:sz w:val="32"/>
        </w:rPr>
        <w:t> </w:t>
      </w:r>
      <w:r>
        <w:rPr>
          <w:b/>
          <w:spacing w:val="-2"/>
          <w:sz w:val="32"/>
        </w:rPr>
        <w:t>Badiwale</w:t>
      </w:r>
    </w:p>
    <w:p>
      <w:pPr>
        <w:spacing w:before="0"/>
        <w:ind w:left="3133" w:right="0" w:firstLine="0"/>
        <w:jc w:val="both"/>
        <w:rPr>
          <w:b/>
          <w:sz w:val="32"/>
        </w:rPr>
      </w:pPr>
      <w:r>
        <w:rPr>
          <w:b/>
          <w:sz w:val="32"/>
        </w:rPr>
        <w:t>06:</w:t>
      </w:r>
      <w:r>
        <w:rPr>
          <w:b/>
          <w:spacing w:val="-1"/>
          <w:sz w:val="32"/>
        </w:rPr>
        <w:t> </w:t>
      </w:r>
      <w:r>
        <w:rPr>
          <w:b/>
          <w:sz w:val="32"/>
        </w:rPr>
        <w:t>Ashish</w:t>
      </w:r>
      <w:r>
        <w:rPr>
          <w:b/>
          <w:spacing w:val="-1"/>
          <w:sz w:val="32"/>
        </w:rPr>
        <w:t> </w:t>
      </w:r>
      <w:r>
        <w:rPr>
          <w:b/>
          <w:spacing w:val="-2"/>
          <w:sz w:val="32"/>
        </w:rPr>
        <w:t>Chaurasiya</w:t>
      </w:r>
    </w:p>
    <w:p>
      <w:pPr>
        <w:spacing w:line="276" w:lineRule="auto" w:before="56"/>
        <w:ind w:left="3346" w:right="4064" w:firstLine="71"/>
        <w:jc w:val="both"/>
        <w:rPr>
          <w:b/>
          <w:sz w:val="32"/>
        </w:rPr>
      </w:pPr>
      <w:r>
        <w:rPr>
          <w:b/>
          <w:sz w:val="32"/>
        </w:rPr>
        <w:t>07: Sanavi </w:t>
      </w:r>
      <w:r>
        <w:rPr>
          <w:b/>
          <w:sz w:val="32"/>
        </w:rPr>
        <w:t>Chorge</w:t>
      </w:r>
      <w:r>
        <w:rPr>
          <w:b/>
          <w:sz w:val="32"/>
        </w:rPr>
        <w:t> 11: Vedant Dhotr</w:t>
      </w:r>
      <w:r>
        <w:rPr>
          <w:b/>
          <w:sz w:val="32"/>
        </w:rPr>
        <w:t>e</w:t>
      </w:r>
      <w:r>
        <w:rPr>
          <w:b/>
          <w:sz w:val="32"/>
        </w:rPr>
        <w:t> 16:</w:t>
      </w:r>
      <w:r>
        <w:rPr>
          <w:b/>
          <w:spacing w:val="-1"/>
          <w:sz w:val="32"/>
        </w:rPr>
        <w:t> </w:t>
      </w:r>
      <w:r>
        <w:rPr>
          <w:b/>
          <w:sz w:val="32"/>
        </w:rPr>
        <w:t>Kashvi</w:t>
      </w:r>
      <w:r>
        <w:rPr>
          <w:b/>
          <w:spacing w:val="-1"/>
          <w:sz w:val="32"/>
        </w:rPr>
        <w:t> </w:t>
      </w:r>
      <w:r>
        <w:rPr>
          <w:b/>
          <w:spacing w:val="-2"/>
          <w:sz w:val="32"/>
        </w:rPr>
        <w:t>Gautam</w:t>
      </w:r>
    </w:p>
    <w:p>
      <w:pPr>
        <w:pStyle w:val="Heading1"/>
        <w:spacing w:before="0"/>
        <w:ind w:left="3320"/>
      </w:pPr>
      <w:r>
        <w:rPr/>
        <w:t>TE-A</w:t>
      </w:r>
      <w:r>
        <w:rPr>
          <w:spacing w:val="-1"/>
        </w:rPr>
        <w:t> </w:t>
      </w:r>
      <w:r>
        <w:rPr/>
        <w:t>COMPS</w:t>
      </w:r>
      <w:r>
        <w:rPr>
          <w:spacing w:val="-1"/>
        </w:rPr>
        <w:t> </w:t>
      </w:r>
      <w:r>
        <w:rPr>
          <w:spacing w:val="-4"/>
        </w:rPr>
        <w:t>2026</w:t>
      </w:r>
    </w:p>
    <w:p>
      <w:pPr>
        <w:pStyle w:val="Heading1"/>
        <w:spacing w:after="0"/>
        <w:sectPr>
          <w:type w:val="continuous"/>
          <w:pgSz w:w="12240" w:h="15840"/>
          <w:pgMar w:top="1380" w:bottom="280" w:left="1440" w:right="720"/>
        </w:sectPr>
      </w:pPr>
    </w:p>
    <w:p>
      <w:pPr>
        <w:spacing w:before="80"/>
        <w:ind w:left="0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DECLARATION</w:t>
      </w:r>
    </w:p>
    <w:p>
      <w:pPr>
        <w:pStyle w:val="BodyText"/>
        <w:spacing w:line="276" w:lineRule="auto" w:before="175"/>
        <w:ind w:right="722"/>
      </w:pPr>
      <w:r>
        <w:rPr/>
        <w:t>This report presents an original comparative analysis of two supplied GIS map outputs: the “Flood </w:t>
      </w:r>
      <w:r>
        <w:rPr/>
        <w:t>Risk</w:t>
      </w:r>
      <w:r>
        <w:rPr/>
        <w:t> Analysis Hardoi 2025” map and the “GIS-Based Flood Vulnerability Assessment of Cachar </w:t>
      </w:r>
      <w:r>
        <w:rPr/>
        <w:t>District,</w:t>
      </w:r>
      <w:r>
        <w:rPr/>
        <w:t> Assam” map. The comparison, tables, workflow diagram, figures, and written interpretation have </w:t>
      </w:r>
      <w:r>
        <w:rPr/>
        <w:t>been</w:t>
      </w:r>
      <w:r>
        <w:rPr/>
        <w:t> prepared specifically for this project.</w:t>
      </w:r>
    </w:p>
    <w:p>
      <w:pPr>
        <w:pStyle w:val="BodyText"/>
        <w:spacing w:line="276" w:lineRule="auto"/>
        <w:ind w:right="722"/>
      </w:pPr>
      <w:r>
        <w:rPr/>
        <w:t>The report does not reproduce another project report. Published research is used only to establish </w:t>
      </w:r>
      <w:r>
        <w:rPr/>
        <w:t>the</w:t>
      </w:r>
      <w:r>
        <w:rPr/>
        <w:t> theoretical background, identify methodological practices, and provide a</w:t>
      </w:r>
      <w:r>
        <w:rPr>
          <w:spacing w:val="-3"/>
        </w:rPr>
        <w:t> </w:t>
      </w:r>
      <w:r>
        <w:rPr/>
        <w:t>basis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comparison.</w:t>
      </w:r>
      <w:r>
        <w:rPr>
          <w:spacing w:val="-3"/>
        </w:rPr>
        <w:t> </w:t>
      </w:r>
      <w:r>
        <w:rPr/>
        <w:t>Wherever</w:t>
      </w:r>
      <w:r>
        <w:rPr/>
        <w:t> published numerical distributions are discussed, they are explicitly identified as supporting-study </w:t>
      </w:r>
      <w:r>
        <w:rPr/>
        <w:t>value</w:t>
      </w:r>
      <w:r>
        <w:rPr/>
        <w:t>s</w:t>
      </w:r>
      <w:r>
        <w:rPr/>
        <w:t> and are not presented as measurements extracted from the supplied maps.</w:t>
      </w:r>
    </w:p>
    <w:p>
      <w:pPr>
        <w:pStyle w:val="BodyText"/>
        <w:spacing w:line="276" w:lineRule="auto"/>
        <w:ind w:right="719"/>
      </w:pPr>
      <w:r>
        <w:rPr/>
        <w:t>All final map layouts and analytical outputs used for submission should be checked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project</w:t>
      </w:r>
      <w:r>
        <w:rPr>
          <w:spacing w:val="-3"/>
        </w:rPr>
        <w:t> </w:t>
      </w:r>
      <w:r>
        <w:rPr/>
        <w:t>group</w:t>
      </w:r>
      <w:r>
        <w:rPr/>
        <w:t> against the original GIS project files and, where required, regenerated from the group's own </w:t>
      </w:r>
      <w:r>
        <w:rPr/>
        <w:t>spatial</w:t>
      </w:r>
      <w:r>
        <w:rPr/>
        <w:t> </w:t>
      </w:r>
      <w:r>
        <w:rPr>
          <w:spacing w:val="-2"/>
        </w:rPr>
        <w:t>datasets.</w:t>
      </w:r>
    </w:p>
    <w:p>
      <w:pPr>
        <w:pStyle w:val="Heading1"/>
        <w:spacing w:before="200"/>
        <w:jc w:val="left"/>
      </w:pPr>
      <w:r>
        <w:rPr>
          <w:spacing w:val="-2"/>
        </w:rPr>
        <w:t>ACKNOWLEDGEMENT</w:t>
      </w:r>
    </w:p>
    <w:p>
      <w:pPr>
        <w:pStyle w:val="BodyText"/>
        <w:spacing w:line="276" w:lineRule="auto" w:before="256"/>
        <w:ind w:right="726"/>
      </w:pPr>
      <w:r>
        <w:rPr/>
        <w:t>This project was developed to examine how GIS-based flood mapping can be used to compare </w:t>
      </w:r>
      <w:r>
        <w:rPr/>
        <w:t>spatial</w:t>
      </w:r>
      <w:r>
        <w:rPr/>
        <w:t> patterns of flood risk and vulnerability across two geographically different Indian districts. The</w:t>
      </w:r>
      <w:r>
        <w:rPr>
          <w:spacing w:val="-3"/>
        </w:rPr>
        <w:t> </w:t>
      </w:r>
      <w:r>
        <w:rPr/>
        <w:t>supplied</w:t>
      </w:r>
      <w:r>
        <w:rPr/>
        <w:t> maps provide the principal visual evidence for the comparison.</w:t>
      </w:r>
    </w:p>
    <w:p>
      <w:pPr>
        <w:pStyle w:val="BodyText"/>
        <w:spacing w:line="276" w:lineRule="auto"/>
        <w:ind w:right="729"/>
      </w:pPr>
      <w:r>
        <w:rPr/>
        <w:t>The study also draws on published research concerning GIS, remote sensing, Analytical </w:t>
      </w:r>
      <w:r>
        <w:rPr/>
        <w:t>Hierarchy</w:t>
      </w:r>
      <w:r>
        <w:rPr/>
        <w:t> Process (AHP), multi-criteria decision-making, and flood susceptibility mapping. These sources </w:t>
      </w:r>
      <w:r>
        <w:rPr/>
        <w:t>helpe</w:t>
      </w:r>
      <w:r>
        <w:rPr/>
        <w:t>d</w:t>
      </w:r>
      <w:r>
        <w:rPr/>
        <w:t> establish the methodological context without replacing the supplied map outputs.</w:t>
      </w:r>
    </w:p>
    <w:p>
      <w:pPr>
        <w:pStyle w:val="BodyText"/>
        <w:spacing w:line="276" w:lineRule="auto"/>
        <w:ind w:right="732"/>
      </w:pPr>
      <w:r>
        <w:rPr/>
        <w:t>The report structure has been designed to separate observed map evidence, supporting </w:t>
      </w:r>
      <w:r>
        <w:rPr/>
        <w:t>literature,</w:t>
      </w:r>
      <w:r>
        <w:rPr/>
        <w:t> methodological reasoning, findings, and interpretation. This separation is important because the </w:t>
      </w:r>
      <w:r>
        <w:rPr/>
        <w:t>tw</w:t>
      </w:r>
      <w:r>
        <w:rPr/>
        <w:t>o</w:t>
      </w:r>
      <w:r>
        <w:rPr/>
        <w:t> supplied maps are not identical in terminology or documented analytical parameters.</w:t>
      </w:r>
    </w:p>
    <w:p>
      <w:pPr>
        <w:pStyle w:val="BodyText"/>
        <w:spacing w:after="0" w:line="276" w:lineRule="auto"/>
        <w:sectPr>
          <w:headerReference w:type="default" r:id="rId5"/>
          <w:pgSz w:w="12240" w:h="15840"/>
          <w:pgMar w:header="727" w:footer="0" w:top="1340" w:bottom="280" w:left="1440" w:right="720"/>
          <w:pgNumType w:start="2"/>
        </w:sectPr>
      </w:pPr>
    </w:p>
    <w:p>
      <w:pPr>
        <w:pStyle w:val="Heading1"/>
        <w:jc w:val="left"/>
      </w:pPr>
      <w:r>
        <w:rPr>
          <w:spacing w:val="-2"/>
        </w:rPr>
        <w:t>ABSTRACT</w:t>
      </w:r>
    </w:p>
    <w:p>
      <w:pPr>
        <w:pStyle w:val="BodyText"/>
        <w:spacing w:line="276" w:lineRule="auto" w:before="255"/>
        <w:ind w:right="719"/>
      </w:pPr>
      <w:r>
        <w:rPr/>
        <w:t>Flood risk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flood</w:t>
      </w:r>
      <w:r>
        <w:rPr>
          <w:spacing w:val="-3"/>
        </w:rPr>
        <w:t> </w:t>
      </w:r>
      <w:r>
        <w:rPr/>
        <w:t>vulnerability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spatially</w:t>
      </w:r>
      <w:r>
        <w:rPr>
          <w:spacing w:val="-3"/>
        </w:rPr>
        <w:t> </w:t>
      </w:r>
      <w:r>
        <w:rPr/>
        <w:t>uneven</w:t>
      </w:r>
      <w:r>
        <w:rPr>
          <w:spacing w:val="-3"/>
        </w:rPr>
        <w:t> </w:t>
      </w:r>
      <w:r>
        <w:rPr/>
        <w:t>because</w:t>
      </w:r>
      <w:r>
        <w:rPr>
          <w:spacing w:val="-3"/>
        </w:rPr>
        <w:t> </w:t>
      </w:r>
      <w:r>
        <w:rPr/>
        <w:t>flooding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influenced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terrain,</w:t>
      </w:r>
      <w:r>
        <w:rPr>
          <w:spacing w:val="-3"/>
        </w:rPr>
        <w:t> </w:t>
      </w:r>
      <w:r>
        <w:rPr/>
        <w:t>drainage,</w:t>
      </w:r>
      <w:r>
        <w:rPr/>
        <w:t> rainfall, river proximity, land cover, settlement patterns and</w:t>
      </w:r>
      <w:r>
        <w:rPr>
          <w:spacing w:val="-4"/>
        </w:rPr>
        <w:t> </w:t>
      </w:r>
      <w:r>
        <w:rPr/>
        <w:t>other</w:t>
      </w:r>
      <w:r>
        <w:rPr>
          <w:spacing w:val="-4"/>
        </w:rPr>
        <w:t> </w:t>
      </w:r>
      <w:r>
        <w:rPr/>
        <w:t>environmental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human</w:t>
      </w:r>
      <w:r>
        <w:rPr>
          <w:spacing w:val="-4"/>
        </w:rPr>
        <w:t> </w:t>
      </w:r>
      <w:r>
        <w:rPr/>
        <w:t>factors.</w:t>
      </w:r>
      <w:r>
        <w:rPr>
          <w:spacing w:val="-4"/>
        </w:rPr>
        <w:t> </w:t>
      </w:r>
      <w:r>
        <w:rPr/>
        <w:t>This</w:t>
      </w:r>
      <w:r>
        <w:rPr/>
        <w:t> study presents a comparative GIS-based assessment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two</w:t>
      </w:r>
      <w:r>
        <w:rPr>
          <w:spacing w:val="-3"/>
        </w:rPr>
        <w:t> </w:t>
      </w:r>
      <w:r>
        <w:rPr/>
        <w:t>supplied</w:t>
      </w:r>
      <w:r>
        <w:rPr>
          <w:spacing w:val="-3"/>
        </w:rPr>
        <w:t> </w:t>
      </w:r>
      <w:r>
        <w:rPr/>
        <w:t>map</w:t>
      </w:r>
      <w:r>
        <w:rPr>
          <w:spacing w:val="-3"/>
        </w:rPr>
        <w:t> </w:t>
      </w:r>
      <w:r>
        <w:rPr/>
        <w:t>outputs:</w:t>
      </w:r>
      <w:r>
        <w:rPr>
          <w:spacing w:val="-3"/>
        </w:rPr>
        <w:t> </w:t>
      </w:r>
      <w:r>
        <w:rPr/>
        <w:t>Flood</w:t>
      </w:r>
      <w:r>
        <w:rPr>
          <w:spacing w:val="-3"/>
        </w:rPr>
        <w:t> </w:t>
      </w:r>
      <w:r>
        <w:rPr/>
        <w:t>Risk</w:t>
      </w:r>
      <w:r>
        <w:rPr>
          <w:spacing w:val="-3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of</w:t>
      </w:r>
      <w:r>
        <w:rPr/>
        <w:t> Hardoi, Uttar Pradesh, dated 2025, and GIS-Based Flood Vulnerability Assessment of Cachar </w:t>
      </w:r>
      <w:r>
        <w:rPr/>
        <w:t>District,</w:t>
      </w:r>
      <w:r>
        <w:rPr/>
        <w:t> </w:t>
      </w:r>
      <w:r>
        <w:rPr>
          <w:spacing w:val="-2"/>
        </w:rPr>
        <w:t>Assam.</w:t>
      </w:r>
    </w:p>
    <w:p>
      <w:pPr>
        <w:pStyle w:val="BodyText"/>
        <w:spacing w:line="276" w:lineRule="auto"/>
        <w:ind w:right="720"/>
      </w:pPr>
      <w:r>
        <w:rPr/>
        <w:t>Both maps use five qualitative classes ranging from Very Low to Very High, allowing a common </w:t>
      </w:r>
      <w:r>
        <w:rPr/>
        <w:t>visual</w:t>
      </w:r>
      <w:r>
        <w:rPr/>
        <w:t> framework for comparison. The Hardoi map shows a pronounced presence of High and Very </w:t>
      </w:r>
      <w:r>
        <w:rPr/>
        <w:t>High</w:t>
      </w:r>
      <w:r>
        <w:rPr/>
        <w:t> categories, including elongated and clustered patterns associated with major drainage corridors </w:t>
      </w:r>
      <w:r>
        <w:rPr/>
        <w:t>and</w:t>
      </w:r>
      <w:r>
        <w:rPr/>
        <w:t> several interior patches. The Cachar map shows a broad distribution of</w:t>
      </w:r>
      <w:r>
        <w:rPr>
          <w:spacing w:val="-4"/>
        </w:rPr>
        <w:t> </w:t>
      </w:r>
      <w:r>
        <w:rPr/>
        <w:t>Moderate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High</w:t>
      </w:r>
      <w:r>
        <w:rPr>
          <w:spacing w:val="-4"/>
        </w:rPr>
        <w:t> </w:t>
      </w:r>
      <w:r>
        <w:rPr/>
        <w:t>vulnerability</w:t>
      </w:r>
      <w:r>
        <w:rPr/>
        <w:t>,</w:t>
      </w:r>
      <w:r>
        <w:rPr/>
        <w:t> with Very High zones concentrated in several central, eastern and southern portions and lower </w:t>
      </w:r>
      <w:r>
        <w:rPr/>
        <w:t>classes</w:t>
      </w:r>
      <w:r>
        <w:rPr/>
        <w:t> more visible in northern and peripheral areas.</w:t>
      </w:r>
    </w:p>
    <w:p>
      <w:pPr>
        <w:pStyle w:val="BodyText"/>
        <w:spacing w:line="276" w:lineRule="auto"/>
        <w:ind w:right="722"/>
      </w:pPr>
      <w:r>
        <w:rPr/>
        <w:t>The comparison indicates that the two districts exhibit different spatial expressions of </w:t>
      </w:r>
      <w:r>
        <w:rPr/>
        <w:t>flood</w:t>
      </w:r>
      <w:r>
        <w:rPr/>
        <w:t> susceptibility/vulnerability. Hardoi presents a more strongly concentrated high-risk visual pattern, </w:t>
      </w:r>
      <w:r>
        <w:rPr/>
        <w:t>whil</w:t>
      </w:r>
      <w:r>
        <w:rPr/>
        <w:t>e</w:t>
      </w:r>
      <w:r>
        <w:rPr/>
        <w:t> Cachar displays a more spatially continuous transition across moderate-to-high vulnerability </w:t>
      </w:r>
      <w:r>
        <w:rPr/>
        <w:t>with</w:t>
      </w:r>
      <w:r>
        <w:rPr/>
        <w:t> localized very-high clusters.</w:t>
      </w:r>
      <w:r>
        <w:rPr>
          <w:spacing w:val="-3"/>
        </w:rPr>
        <w:t> </w:t>
      </w:r>
      <w:r>
        <w:rPr/>
        <w:t>These</w:t>
      </w:r>
      <w:r>
        <w:rPr>
          <w:spacing w:val="-3"/>
        </w:rPr>
        <w:t> </w:t>
      </w:r>
      <w:r>
        <w:rPr/>
        <w:t>observations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descriptive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based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supplied</w:t>
      </w:r>
      <w:r>
        <w:rPr>
          <w:spacing w:val="-3"/>
        </w:rPr>
        <w:t> </w:t>
      </w:r>
      <w:r>
        <w:rPr/>
        <w:t>maps;</w:t>
      </w:r>
      <w:r>
        <w:rPr>
          <w:spacing w:val="-3"/>
        </w:rPr>
        <w:t> </w:t>
      </w:r>
      <w:r>
        <w:rPr/>
        <w:t>exact</w:t>
      </w:r>
      <w:r>
        <w:rPr/>
        <w:t> class-area percentages cannot be calculated from the map images alone.</w:t>
      </w:r>
    </w:p>
    <w:p>
      <w:pPr>
        <w:pStyle w:val="BodyText"/>
        <w:spacing w:line="276" w:lineRule="auto"/>
        <w:ind w:right="719"/>
      </w:pPr>
      <w:r>
        <w:rPr/>
        <w:t>Published research supports the use of</w:t>
      </w:r>
      <w:r>
        <w:rPr>
          <w:spacing w:val="-3"/>
        </w:rPr>
        <w:t> </w:t>
      </w:r>
      <w:r>
        <w:rPr/>
        <w:t>GIS-MCDM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AHP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flood</w:t>
      </w:r>
      <w:r>
        <w:rPr>
          <w:spacing w:val="-3"/>
        </w:rPr>
        <w:t> </w:t>
      </w:r>
      <w:r>
        <w:rPr/>
        <w:t>susceptibility</w:t>
      </w:r>
      <w:r>
        <w:rPr>
          <w:spacing w:val="-3"/>
        </w:rPr>
        <w:t> </w:t>
      </w:r>
      <w:r>
        <w:rPr/>
        <w:t>mapping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shows</w:t>
      </w:r>
      <w:r>
        <w:rPr/>
        <w:t> that parameters such as elevation, slope, rainfall, drainage density, distance from rivers, land </w:t>
      </w:r>
      <w:r>
        <w:rPr/>
        <w:t>use/land</w:t>
      </w:r>
      <w:r>
        <w:rPr/>
        <w:t> cover, NDVI, TWI and population can influence flood susceptibility. The study concludes that </w:t>
      </w:r>
      <w:r>
        <w:rPr/>
        <w:t>map</w:t>
      </w:r>
      <w:r>
        <w:rPr/>
        <w:t> comparison is useful for identifying spatial priorities, but direct numerical comparison </w:t>
      </w:r>
      <w:r>
        <w:rPr/>
        <w:t>require</w:t>
      </w:r>
      <w:r>
        <w:rPr/>
        <w:t>s</w:t>
      </w:r>
      <w:r>
        <w:rPr/>
        <w:t> harmonized datasets, identical classification rules, common spatial resolution and documented weights.</w:t>
      </w:r>
    </w:p>
    <w:p>
      <w:pPr>
        <w:pStyle w:val="BodyText"/>
        <w:spacing w:after="0" w:line="276" w:lineRule="auto"/>
        <w:sectPr>
          <w:pgSz w:w="12240" w:h="15840"/>
          <w:pgMar w:header="727" w:footer="0" w:top="1340" w:bottom="280" w:left="1440" w:right="720"/>
        </w:sectPr>
      </w:pPr>
    </w:p>
    <w:p>
      <w:pPr>
        <w:spacing w:before="80" w:after="53"/>
        <w:ind w:left="0" w:right="0" w:firstLine="0"/>
        <w:jc w:val="left"/>
        <w:rPr>
          <w:b/>
          <w:sz w:val="32"/>
        </w:rPr>
      </w:pPr>
      <w:r>
        <w:rPr>
          <w:b/>
          <w:sz w:val="32"/>
        </w:rPr>
        <w:t>Table</w:t>
      </w:r>
      <w:r>
        <w:rPr>
          <w:b/>
          <w:spacing w:val="-16"/>
          <w:sz w:val="32"/>
        </w:rPr>
        <w:t> </w:t>
      </w:r>
      <w:r>
        <w:rPr>
          <w:b/>
          <w:sz w:val="32"/>
        </w:rPr>
        <w:t>Of</w:t>
      </w:r>
      <w:r>
        <w:rPr>
          <w:b/>
          <w:spacing w:val="-16"/>
          <w:sz w:val="32"/>
        </w:rPr>
        <w:t> </w:t>
      </w:r>
      <w:r>
        <w:rPr>
          <w:b/>
          <w:spacing w:val="-2"/>
          <w:sz w:val="32"/>
        </w:rPr>
        <w:t>Content:</w:t>
      </w:r>
    </w:p>
    <w:tbl>
      <w:tblPr>
        <w:tblW w:w="0" w:type="auto"/>
        <w:jc w:val="left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5"/>
        <w:gridCol w:w="5580"/>
        <w:gridCol w:w="1845"/>
      </w:tblGrid>
      <w:tr>
        <w:trPr>
          <w:trHeight w:val="330" w:hRule="atLeast"/>
        </w:trPr>
        <w:tc>
          <w:tcPr>
            <w:tcW w:w="2385" w:type="dxa"/>
            <w:shd w:val="clear" w:color="auto" w:fill="D8E8F5"/>
          </w:tcPr>
          <w:p>
            <w:pPr>
              <w:pStyle w:val="TableParagraph"/>
              <w:spacing w:before="23"/>
              <w:ind w:left="24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Chapter</w:t>
            </w:r>
          </w:p>
        </w:tc>
        <w:tc>
          <w:tcPr>
            <w:tcW w:w="5580" w:type="dxa"/>
            <w:shd w:val="clear" w:color="auto" w:fill="D8E8F5"/>
          </w:tcPr>
          <w:p>
            <w:pPr>
              <w:pStyle w:val="TableParagraph"/>
              <w:spacing w:before="23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Title</w:t>
            </w:r>
          </w:p>
        </w:tc>
        <w:tc>
          <w:tcPr>
            <w:tcW w:w="1845" w:type="dxa"/>
            <w:shd w:val="clear" w:color="auto" w:fill="D8E8F5"/>
          </w:tcPr>
          <w:p>
            <w:pPr>
              <w:pStyle w:val="TableParagraph"/>
              <w:spacing w:before="23"/>
              <w:ind w:left="15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Page </w:t>
            </w:r>
            <w:r>
              <w:rPr>
                <w:b/>
                <w:spacing w:val="-5"/>
                <w:sz w:val="24"/>
              </w:rPr>
              <w:t>No.</w:t>
            </w:r>
          </w:p>
        </w:tc>
      </w:tr>
      <w:tr>
        <w:trPr>
          <w:trHeight w:val="375" w:hRule="atLeast"/>
        </w:trPr>
        <w:tc>
          <w:tcPr>
            <w:tcW w:w="2385" w:type="dxa"/>
            <w:shd w:val="clear" w:color="auto" w:fill="E6E6E6"/>
          </w:tcPr>
          <w:p>
            <w:pPr>
              <w:pStyle w:val="TableParagraph"/>
              <w:spacing w:before="66"/>
              <w:ind w:left="24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Chapter </w:t>
            </w: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5580" w:type="dxa"/>
            <w:shd w:val="clear" w:color="auto" w:fill="E6E6E6"/>
          </w:tcPr>
          <w:p>
            <w:pPr>
              <w:pStyle w:val="TableParagraph"/>
              <w:spacing w:before="66"/>
              <w:ind w:left="24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INTRODUCTION</w:t>
            </w:r>
          </w:p>
        </w:tc>
        <w:tc>
          <w:tcPr>
            <w:tcW w:w="1845" w:type="dxa"/>
            <w:shd w:val="clear" w:color="auto" w:fill="E6E6E6"/>
          </w:tcPr>
          <w:p>
            <w:pPr>
              <w:pStyle w:val="TableParagraph"/>
              <w:spacing w:before="66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>
        <w:trPr>
          <w:trHeight w:val="375" w:hRule="atLeast"/>
        </w:trPr>
        <w:tc>
          <w:tcPr>
            <w:tcW w:w="2385" w:type="dxa"/>
          </w:tcPr>
          <w:p>
            <w:pPr>
              <w:pStyle w:val="TableParagraph"/>
              <w:spacing w:before="69"/>
              <w:ind w:left="24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1.1</w:t>
            </w:r>
          </w:p>
        </w:tc>
        <w:tc>
          <w:tcPr>
            <w:tcW w:w="5580" w:type="dxa"/>
          </w:tcPr>
          <w:p>
            <w:pPr>
              <w:pStyle w:val="TableParagraph"/>
              <w:spacing w:before="69"/>
              <w:ind w:left="247"/>
              <w:rPr>
                <w:sz w:val="24"/>
              </w:rPr>
            </w:pPr>
            <w:r>
              <w:rPr>
                <w:sz w:val="24"/>
              </w:rPr>
              <w:t>Background of the </w:t>
            </w:r>
            <w:r>
              <w:rPr>
                <w:spacing w:val="-2"/>
                <w:sz w:val="24"/>
              </w:rPr>
              <w:t>Study</w:t>
            </w:r>
          </w:p>
        </w:tc>
        <w:tc>
          <w:tcPr>
            <w:tcW w:w="1845" w:type="dxa"/>
          </w:tcPr>
          <w:p>
            <w:pPr>
              <w:pStyle w:val="TableParagraph"/>
              <w:spacing w:before="69"/>
              <w:ind w:lef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>
        <w:trPr>
          <w:trHeight w:val="375" w:hRule="atLeast"/>
        </w:trPr>
        <w:tc>
          <w:tcPr>
            <w:tcW w:w="2385" w:type="dxa"/>
          </w:tcPr>
          <w:p>
            <w:pPr>
              <w:pStyle w:val="TableParagraph"/>
              <w:spacing w:before="71"/>
              <w:ind w:left="24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1.2</w:t>
            </w:r>
          </w:p>
        </w:tc>
        <w:tc>
          <w:tcPr>
            <w:tcW w:w="5580" w:type="dxa"/>
          </w:tcPr>
          <w:p>
            <w:pPr>
              <w:pStyle w:val="TableParagraph"/>
              <w:spacing w:before="71"/>
              <w:ind w:left="247"/>
              <w:rPr>
                <w:sz w:val="24"/>
              </w:rPr>
            </w:pPr>
            <w:r>
              <w:rPr>
                <w:sz w:val="24"/>
              </w:rPr>
              <w:t>Rationale for Comparative </w:t>
            </w:r>
            <w:r>
              <w:rPr>
                <w:spacing w:val="-2"/>
                <w:sz w:val="24"/>
              </w:rPr>
              <w:t>Assessment</w:t>
            </w:r>
          </w:p>
        </w:tc>
        <w:tc>
          <w:tcPr>
            <w:tcW w:w="1845" w:type="dxa"/>
          </w:tcPr>
          <w:p>
            <w:pPr>
              <w:pStyle w:val="TableParagraph"/>
              <w:spacing w:before="71"/>
              <w:ind w:lef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>
        <w:trPr>
          <w:trHeight w:val="390" w:hRule="atLeast"/>
        </w:trPr>
        <w:tc>
          <w:tcPr>
            <w:tcW w:w="2385" w:type="dxa"/>
          </w:tcPr>
          <w:p>
            <w:pPr>
              <w:pStyle w:val="TableParagraph"/>
              <w:spacing w:before="74"/>
              <w:ind w:left="24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1.3</w:t>
            </w:r>
          </w:p>
        </w:tc>
        <w:tc>
          <w:tcPr>
            <w:tcW w:w="5580" w:type="dxa"/>
          </w:tcPr>
          <w:p>
            <w:pPr>
              <w:pStyle w:val="TableParagraph"/>
              <w:spacing w:before="74"/>
              <w:ind w:left="247"/>
              <w:rPr>
                <w:sz w:val="24"/>
              </w:rPr>
            </w:pPr>
            <w:r>
              <w:rPr>
                <w:sz w:val="24"/>
              </w:rPr>
              <w:t>Research </w:t>
            </w:r>
            <w:r>
              <w:rPr>
                <w:spacing w:val="-2"/>
                <w:sz w:val="24"/>
              </w:rPr>
              <w:t>Context</w:t>
            </w:r>
          </w:p>
        </w:tc>
        <w:tc>
          <w:tcPr>
            <w:tcW w:w="1845" w:type="dxa"/>
          </w:tcPr>
          <w:p>
            <w:pPr>
              <w:pStyle w:val="TableParagraph"/>
              <w:spacing w:before="74"/>
              <w:ind w:lef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>
        <w:trPr>
          <w:trHeight w:val="375" w:hRule="atLeast"/>
        </w:trPr>
        <w:tc>
          <w:tcPr>
            <w:tcW w:w="2385" w:type="dxa"/>
            <w:shd w:val="clear" w:color="auto" w:fill="E6E6E6"/>
          </w:tcPr>
          <w:p>
            <w:pPr>
              <w:pStyle w:val="TableParagraph"/>
              <w:spacing w:before="61"/>
              <w:ind w:left="24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Chapter 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5580" w:type="dxa"/>
            <w:shd w:val="clear" w:color="auto" w:fill="E6E6E6"/>
          </w:tcPr>
          <w:p>
            <w:pPr>
              <w:pStyle w:val="TableParagraph"/>
              <w:spacing w:before="61"/>
              <w:ind w:left="24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LITERATURE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REVIEW</w:t>
            </w:r>
          </w:p>
        </w:tc>
        <w:tc>
          <w:tcPr>
            <w:tcW w:w="1845" w:type="dxa"/>
            <w:shd w:val="clear" w:color="auto" w:fill="E6E6E6"/>
          </w:tcPr>
          <w:p>
            <w:pPr>
              <w:pStyle w:val="TableParagraph"/>
              <w:spacing w:before="61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</w:tr>
      <w:tr>
        <w:trPr>
          <w:trHeight w:val="375" w:hRule="atLeast"/>
        </w:trPr>
        <w:tc>
          <w:tcPr>
            <w:tcW w:w="2385" w:type="dxa"/>
          </w:tcPr>
          <w:p>
            <w:pPr>
              <w:pStyle w:val="TableParagraph"/>
              <w:spacing w:before="63"/>
              <w:ind w:left="24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2.1</w:t>
            </w:r>
          </w:p>
        </w:tc>
        <w:tc>
          <w:tcPr>
            <w:tcW w:w="5580" w:type="dxa"/>
          </w:tcPr>
          <w:p>
            <w:pPr>
              <w:pStyle w:val="TableParagraph"/>
              <w:spacing w:before="63"/>
              <w:ind w:left="247"/>
              <w:rPr>
                <w:sz w:val="24"/>
              </w:rPr>
            </w:pPr>
            <w:r>
              <w:rPr>
                <w:sz w:val="24"/>
              </w:rPr>
              <w:t>Literature </w:t>
            </w: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845" w:type="dxa"/>
          </w:tcPr>
          <w:p>
            <w:pPr>
              <w:pStyle w:val="TableParagraph"/>
              <w:spacing w:before="63"/>
              <w:ind w:lef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>
        <w:trPr>
          <w:trHeight w:val="375" w:hRule="atLeast"/>
        </w:trPr>
        <w:tc>
          <w:tcPr>
            <w:tcW w:w="2385" w:type="dxa"/>
          </w:tcPr>
          <w:p>
            <w:pPr>
              <w:pStyle w:val="TableParagraph"/>
              <w:spacing w:before="66"/>
              <w:ind w:left="24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2.2</w:t>
            </w:r>
          </w:p>
        </w:tc>
        <w:tc>
          <w:tcPr>
            <w:tcW w:w="5580" w:type="dxa"/>
          </w:tcPr>
          <w:p>
            <w:pPr>
              <w:pStyle w:val="TableParagraph"/>
              <w:spacing w:before="66"/>
              <w:ind w:left="247"/>
              <w:rPr>
                <w:sz w:val="24"/>
              </w:rPr>
            </w:pPr>
            <w:r>
              <w:rPr>
                <w:sz w:val="24"/>
              </w:rPr>
              <w:t>Statement of the </w:t>
            </w:r>
            <w:r>
              <w:rPr>
                <w:spacing w:val="-2"/>
                <w:sz w:val="24"/>
              </w:rPr>
              <w:t>Problem</w:t>
            </w:r>
          </w:p>
        </w:tc>
        <w:tc>
          <w:tcPr>
            <w:tcW w:w="1845" w:type="dxa"/>
          </w:tcPr>
          <w:p>
            <w:pPr>
              <w:pStyle w:val="TableParagraph"/>
              <w:spacing w:before="66"/>
              <w:ind w:lef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  <w:tr>
        <w:trPr>
          <w:trHeight w:val="375" w:hRule="atLeast"/>
        </w:trPr>
        <w:tc>
          <w:tcPr>
            <w:tcW w:w="2385" w:type="dxa"/>
          </w:tcPr>
          <w:p>
            <w:pPr>
              <w:pStyle w:val="TableParagraph"/>
              <w:spacing w:before="68"/>
              <w:ind w:left="24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2.3</w:t>
            </w:r>
          </w:p>
        </w:tc>
        <w:tc>
          <w:tcPr>
            <w:tcW w:w="5580" w:type="dxa"/>
          </w:tcPr>
          <w:p>
            <w:pPr>
              <w:pStyle w:val="TableParagraph"/>
              <w:spacing w:before="68"/>
              <w:ind w:left="247"/>
              <w:rPr>
                <w:sz w:val="24"/>
              </w:rPr>
            </w:pPr>
            <w:r>
              <w:rPr>
                <w:sz w:val="24"/>
              </w:rPr>
              <w:t>Objectives of the </w:t>
            </w:r>
            <w:r>
              <w:rPr>
                <w:spacing w:val="-2"/>
                <w:sz w:val="24"/>
              </w:rPr>
              <w:t>Research</w:t>
            </w:r>
          </w:p>
        </w:tc>
        <w:tc>
          <w:tcPr>
            <w:tcW w:w="1845" w:type="dxa"/>
          </w:tcPr>
          <w:p>
            <w:pPr>
              <w:pStyle w:val="TableParagraph"/>
              <w:spacing w:before="68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>
        <w:trPr>
          <w:trHeight w:val="375" w:hRule="atLeast"/>
        </w:trPr>
        <w:tc>
          <w:tcPr>
            <w:tcW w:w="2385" w:type="dxa"/>
          </w:tcPr>
          <w:p>
            <w:pPr>
              <w:pStyle w:val="TableParagraph"/>
              <w:spacing w:before="70"/>
              <w:ind w:left="24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2.4</w:t>
            </w:r>
          </w:p>
        </w:tc>
        <w:tc>
          <w:tcPr>
            <w:tcW w:w="5580" w:type="dxa"/>
          </w:tcPr>
          <w:p>
            <w:pPr>
              <w:pStyle w:val="TableParagraph"/>
              <w:spacing w:before="70"/>
              <w:ind w:left="247"/>
              <w:rPr>
                <w:sz w:val="24"/>
              </w:rPr>
            </w:pPr>
            <w:r>
              <w:rPr>
                <w:sz w:val="24"/>
              </w:rPr>
              <w:t>Scope and </w:t>
            </w:r>
            <w:r>
              <w:rPr>
                <w:spacing w:val="-2"/>
                <w:sz w:val="24"/>
              </w:rPr>
              <w:t>Limitations</w:t>
            </w:r>
          </w:p>
        </w:tc>
        <w:tc>
          <w:tcPr>
            <w:tcW w:w="1845" w:type="dxa"/>
          </w:tcPr>
          <w:p>
            <w:pPr>
              <w:pStyle w:val="TableParagraph"/>
              <w:spacing w:before="70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>
        <w:trPr>
          <w:trHeight w:val="390" w:hRule="atLeast"/>
        </w:trPr>
        <w:tc>
          <w:tcPr>
            <w:tcW w:w="2385" w:type="dxa"/>
          </w:tcPr>
          <w:p>
            <w:pPr>
              <w:pStyle w:val="TableParagraph"/>
              <w:spacing w:before="73"/>
              <w:ind w:left="24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2.5</w:t>
            </w:r>
          </w:p>
        </w:tc>
        <w:tc>
          <w:tcPr>
            <w:tcW w:w="5580" w:type="dxa"/>
          </w:tcPr>
          <w:p>
            <w:pPr>
              <w:pStyle w:val="TableParagraph"/>
              <w:spacing w:before="73"/>
              <w:ind w:left="247"/>
              <w:rPr>
                <w:sz w:val="24"/>
              </w:rPr>
            </w:pPr>
            <w:r>
              <w:rPr>
                <w:sz w:val="24"/>
              </w:rPr>
              <w:t>Study </w:t>
            </w:r>
            <w:r>
              <w:rPr>
                <w:spacing w:val="-4"/>
                <w:sz w:val="24"/>
              </w:rPr>
              <w:t>Area</w:t>
            </w:r>
          </w:p>
        </w:tc>
        <w:tc>
          <w:tcPr>
            <w:tcW w:w="1845" w:type="dxa"/>
          </w:tcPr>
          <w:p>
            <w:pPr>
              <w:pStyle w:val="TableParagraph"/>
              <w:spacing w:before="73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</w:tr>
      <w:tr>
        <w:trPr>
          <w:trHeight w:val="375" w:hRule="atLeast"/>
        </w:trPr>
        <w:tc>
          <w:tcPr>
            <w:tcW w:w="2385" w:type="dxa"/>
          </w:tcPr>
          <w:p>
            <w:pPr>
              <w:pStyle w:val="TableParagraph"/>
              <w:spacing w:before="60"/>
              <w:ind w:left="24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2.6</w:t>
            </w:r>
          </w:p>
        </w:tc>
        <w:tc>
          <w:tcPr>
            <w:tcW w:w="5580" w:type="dxa"/>
          </w:tcPr>
          <w:p>
            <w:pPr>
              <w:pStyle w:val="TableParagraph"/>
              <w:spacing w:before="60"/>
              <w:ind w:left="247"/>
              <w:rPr>
                <w:sz w:val="24"/>
              </w:rPr>
            </w:pPr>
            <w:r>
              <w:rPr>
                <w:sz w:val="24"/>
              </w:rPr>
              <w:t>Data </w:t>
            </w:r>
            <w:r>
              <w:rPr>
                <w:spacing w:val="-2"/>
                <w:sz w:val="24"/>
              </w:rPr>
              <w:t>Sources</w:t>
            </w:r>
          </w:p>
        </w:tc>
        <w:tc>
          <w:tcPr>
            <w:tcW w:w="1845" w:type="dxa"/>
          </w:tcPr>
          <w:p>
            <w:pPr>
              <w:pStyle w:val="TableParagraph"/>
              <w:spacing w:before="60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</w:tr>
      <w:tr>
        <w:trPr>
          <w:trHeight w:val="375" w:hRule="atLeast"/>
        </w:trPr>
        <w:tc>
          <w:tcPr>
            <w:tcW w:w="2385" w:type="dxa"/>
          </w:tcPr>
          <w:p>
            <w:pPr>
              <w:pStyle w:val="TableParagraph"/>
              <w:spacing w:before="63"/>
              <w:ind w:left="24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2.7</w:t>
            </w:r>
          </w:p>
        </w:tc>
        <w:tc>
          <w:tcPr>
            <w:tcW w:w="5580" w:type="dxa"/>
          </w:tcPr>
          <w:p>
            <w:pPr>
              <w:pStyle w:val="TableParagraph"/>
              <w:spacing w:before="63"/>
              <w:ind w:left="247"/>
              <w:rPr>
                <w:sz w:val="24"/>
              </w:rPr>
            </w:pPr>
            <w:r>
              <w:rPr>
                <w:sz w:val="24"/>
              </w:rPr>
              <w:t>Software and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1845" w:type="dxa"/>
          </w:tcPr>
          <w:p>
            <w:pPr>
              <w:pStyle w:val="TableParagraph"/>
              <w:spacing w:before="63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</w:tr>
      <w:tr>
        <w:trPr>
          <w:trHeight w:val="375" w:hRule="atLeast"/>
        </w:trPr>
        <w:tc>
          <w:tcPr>
            <w:tcW w:w="2385" w:type="dxa"/>
            <w:shd w:val="clear" w:color="auto" w:fill="E6E6E6"/>
          </w:tcPr>
          <w:p>
            <w:pPr>
              <w:pStyle w:val="TableParagraph"/>
              <w:spacing w:before="65"/>
              <w:ind w:left="24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Chapter </w:t>
            </w: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5580" w:type="dxa"/>
            <w:shd w:val="clear" w:color="auto" w:fill="E6E6E6"/>
          </w:tcPr>
          <w:p>
            <w:pPr>
              <w:pStyle w:val="TableParagraph"/>
              <w:spacing w:before="65"/>
              <w:ind w:left="24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METHODOLOGY</w:t>
            </w:r>
          </w:p>
        </w:tc>
        <w:tc>
          <w:tcPr>
            <w:tcW w:w="1845" w:type="dxa"/>
            <w:shd w:val="clear" w:color="auto" w:fill="E6E6E6"/>
          </w:tcPr>
          <w:p>
            <w:pPr>
              <w:pStyle w:val="TableParagraph"/>
              <w:spacing w:before="65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14</w:t>
            </w:r>
          </w:p>
        </w:tc>
      </w:tr>
      <w:tr>
        <w:trPr>
          <w:trHeight w:val="375" w:hRule="atLeast"/>
        </w:trPr>
        <w:tc>
          <w:tcPr>
            <w:tcW w:w="2385" w:type="dxa"/>
          </w:tcPr>
          <w:p>
            <w:pPr>
              <w:pStyle w:val="TableParagraph"/>
              <w:spacing w:before="67"/>
              <w:ind w:left="24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3.1</w:t>
            </w:r>
          </w:p>
        </w:tc>
        <w:tc>
          <w:tcPr>
            <w:tcW w:w="5580" w:type="dxa"/>
          </w:tcPr>
          <w:p>
            <w:pPr>
              <w:pStyle w:val="TableParagraph"/>
              <w:spacing w:before="67"/>
              <w:ind w:left="247"/>
              <w:rPr>
                <w:sz w:val="24"/>
              </w:rPr>
            </w:pPr>
            <w:r>
              <w:rPr>
                <w:sz w:val="24"/>
              </w:rPr>
              <w:t>Research </w:t>
            </w:r>
            <w:r>
              <w:rPr>
                <w:spacing w:val="-2"/>
                <w:sz w:val="24"/>
              </w:rPr>
              <w:t>Design</w:t>
            </w:r>
          </w:p>
        </w:tc>
        <w:tc>
          <w:tcPr>
            <w:tcW w:w="1845" w:type="dxa"/>
          </w:tcPr>
          <w:p>
            <w:pPr>
              <w:pStyle w:val="TableParagraph"/>
              <w:spacing w:before="67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</w:tr>
      <w:tr>
        <w:trPr>
          <w:trHeight w:val="375" w:hRule="atLeast"/>
        </w:trPr>
        <w:tc>
          <w:tcPr>
            <w:tcW w:w="2385" w:type="dxa"/>
          </w:tcPr>
          <w:p>
            <w:pPr>
              <w:pStyle w:val="TableParagraph"/>
              <w:spacing w:before="70"/>
              <w:ind w:left="24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3.2</w:t>
            </w:r>
          </w:p>
        </w:tc>
        <w:tc>
          <w:tcPr>
            <w:tcW w:w="5580" w:type="dxa"/>
          </w:tcPr>
          <w:p>
            <w:pPr>
              <w:pStyle w:val="TableParagraph"/>
              <w:spacing w:before="70"/>
              <w:ind w:left="247"/>
              <w:rPr>
                <w:sz w:val="24"/>
              </w:rPr>
            </w:pPr>
            <w:r>
              <w:rPr>
                <w:sz w:val="24"/>
              </w:rPr>
              <w:t>Objective-Wise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Methodology</w:t>
            </w:r>
          </w:p>
        </w:tc>
        <w:tc>
          <w:tcPr>
            <w:tcW w:w="1845" w:type="dxa"/>
          </w:tcPr>
          <w:p>
            <w:pPr>
              <w:pStyle w:val="TableParagraph"/>
              <w:spacing w:before="70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  <w:tr>
        <w:trPr>
          <w:trHeight w:val="375" w:hRule="atLeast"/>
        </w:trPr>
        <w:tc>
          <w:tcPr>
            <w:tcW w:w="2385" w:type="dxa"/>
          </w:tcPr>
          <w:p>
            <w:pPr>
              <w:pStyle w:val="TableParagraph"/>
              <w:spacing w:before="72"/>
              <w:ind w:left="24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3.3</w:t>
            </w:r>
          </w:p>
        </w:tc>
        <w:tc>
          <w:tcPr>
            <w:tcW w:w="5580" w:type="dxa"/>
          </w:tcPr>
          <w:p>
            <w:pPr>
              <w:pStyle w:val="TableParagraph"/>
              <w:spacing w:before="72"/>
              <w:ind w:left="247"/>
              <w:rPr>
                <w:sz w:val="24"/>
              </w:rPr>
            </w:pPr>
            <w:r>
              <w:rPr>
                <w:sz w:val="24"/>
              </w:rPr>
              <w:t>Map </w:t>
            </w:r>
            <w:r>
              <w:rPr>
                <w:spacing w:val="-2"/>
                <w:sz w:val="24"/>
              </w:rPr>
              <w:t>Standardization</w:t>
            </w:r>
          </w:p>
        </w:tc>
        <w:tc>
          <w:tcPr>
            <w:tcW w:w="1845" w:type="dxa"/>
          </w:tcPr>
          <w:p>
            <w:pPr>
              <w:pStyle w:val="TableParagraph"/>
              <w:spacing w:before="72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  <w:tr>
        <w:trPr>
          <w:trHeight w:val="390" w:hRule="atLeast"/>
        </w:trPr>
        <w:tc>
          <w:tcPr>
            <w:tcW w:w="2385" w:type="dxa"/>
          </w:tcPr>
          <w:p>
            <w:pPr>
              <w:pStyle w:val="TableParagraph"/>
              <w:spacing w:before="74"/>
              <w:ind w:left="24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3.4</w:t>
            </w:r>
          </w:p>
        </w:tc>
        <w:tc>
          <w:tcPr>
            <w:tcW w:w="5580" w:type="dxa"/>
          </w:tcPr>
          <w:p>
            <w:pPr>
              <w:pStyle w:val="TableParagraph"/>
              <w:spacing w:before="74"/>
              <w:ind w:left="247"/>
              <w:rPr>
                <w:sz w:val="24"/>
              </w:rPr>
            </w:pPr>
            <w:r>
              <w:rPr>
                <w:sz w:val="24"/>
              </w:rPr>
              <w:t>Spatial Pattern </w:t>
            </w: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845" w:type="dxa"/>
          </w:tcPr>
          <w:p>
            <w:pPr>
              <w:pStyle w:val="TableParagraph"/>
              <w:spacing w:before="74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</w:tr>
      <w:tr>
        <w:trPr>
          <w:trHeight w:val="375" w:hRule="atLeast"/>
        </w:trPr>
        <w:tc>
          <w:tcPr>
            <w:tcW w:w="2385" w:type="dxa"/>
          </w:tcPr>
          <w:p>
            <w:pPr>
              <w:pStyle w:val="TableParagraph"/>
              <w:spacing w:before="62"/>
              <w:ind w:left="24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3.5</w:t>
            </w:r>
          </w:p>
        </w:tc>
        <w:tc>
          <w:tcPr>
            <w:tcW w:w="5580" w:type="dxa"/>
          </w:tcPr>
          <w:p>
            <w:pPr>
              <w:pStyle w:val="TableParagraph"/>
              <w:spacing w:before="62"/>
              <w:ind w:left="247"/>
              <w:rPr>
                <w:sz w:val="24"/>
              </w:rPr>
            </w:pPr>
            <w:r>
              <w:rPr>
                <w:sz w:val="24"/>
              </w:rPr>
              <w:t>Comparative </w:t>
            </w: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845" w:type="dxa"/>
          </w:tcPr>
          <w:p>
            <w:pPr>
              <w:pStyle w:val="TableParagraph"/>
              <w:spacing w:before="62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</w:tr>
      <w:tr>
        <w:trPr>
          <w:trHeight w:val="375" w:hRule="atLeast"/>
        </w:trPr>
        <w:tc>
          <w:tcPr>
            <w:tcW w:w="2385" w:type="dxa"/>
          </w:tcPr>
          <w:p>
            <w:pPr>
              <w:pStyle w:val="TableParagraph"/>
              <w:spacing w:before="64"/>
              <w:ind w:left="24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3.6</w:t>
            </w:r>
          </w:p>
        </w:tc>
        <w:tc>
          <w:tcPr>
            <w:tcW w:w="5580" w:type="dxa"/>
          </w:tcPr>
          <w:p>
            <w:pPr>
              <w:pStyle w:val="TableParagraph"/>
              <w:spacing w:before="64"/>
              <w:ind w:left="247"/>
              <w:rPr>
                <w:sz w:val="24"/>
              </w:rPr>
            </w:pPr>
            <w:r>
              <w:rPr>
                <w:sz w:val="24"/>
              </w:rPr>
              <w:t>Validation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Uncertainty</w:t>
            </w:r>
          </w:p>
        </w:tc>
        <w:tc>
          <w:tcPr>
            <w:tcW w:w="1845" w:type="dxa"/>
          </w:tcPr>
          <w:p>
            <w:pPr>
              <w:pStyle w:val="TableParagraph"/>
              <w:spacing w:before="64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</w:tr>
      <w:tr>
        <w:trPr>
          <w:trHeight w:val="375" w:hRule="atLeast"/>
        </w:trPr>
        <w:tc>
          <w:tcPr>
            <w:tcW w:w="2385" w:type="dxa"/>
            <w:shd w:val="clear" w:color="auto" w:fill="E6E6E6"/>
          </w:tcPr>
          <w:p>
            <w:pPr>
              <w:pStyle w:val="TableParagraph"/>
              <w:spacing w:before="67"/>
              <w:ind w:left="24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Chapter </w:t>
            </w: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5580" w:type="dxa"/>
            <w:shd w:val="clear" w:color="auto" w:fill="E6E6E6"/>
          </w:tcPr>
          <w:p>
            <w:pPr>
              <w:pStyle w:val="TableParagraph"/>
              <w:spacing w:before="67"/>
              <w:ind w:left="24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FINDINGS</w:t>
            </w:r>
          </w:p>
        </w:tc>
        <w:tc>
          <w:tcPr>
            <w:tcW w:w="1845" w:type="dxa"/>
            <w:shd w:val="clear" w:color="auto" w:fill="E6E6E6"/>
          </w:tcPr>
          <w:p>
            <w:pPr>
              <w:pStyle w:val="TableParagraph"/>
              <w:spacing w:before="67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18</w:t>
            </w:r>
          </w:p>
        </w:tc>
      </w:tr>
      <w:tr>
        <w:trPr>
          <w:trHeight w:val="375" w:hRule="atLeast"/>
        </w:trPr>
        <w:tc>
          <w:tcPr>
            <w:tcW w:w="2385" w:type="dxa"/>
          </w:tcPr>
          <w:p>
            <w:pPr>
              <w:pStyle w:val="TableParagraph"/>
              <w:spacing w:before="69"/>
              <w:ind w:left="24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4.1</w:t>
            </w:r>
          </w:p>
        </w:tc>
        <w:tc>
          <w:tcPr>
            <w:tcW w:w="5580" w:type="dxa"/>
          </w:tcPr>
          <w:p>
            <w:pPr>
              <w:pStyle w:val="TableParagraph"/>
              <w:spacing w:before="69"/>
              <w:ind w:left="247"/>
              <w:rPr>
                <w:sz w:val="24"/>
              </w:rPr>
            </w:pPr>
            <w:r>
              <w:rPr>
                <w:sz w:val="24"/>
              </w:rPr>
              <w:t>Hardoi Map </w:t>
            </w:r>
            <w:r>
              <w:rPr>
                <w:spacing w:val="-2"/>
                <w:sz w:val="24"/>
              </w:rPr>
              <w:t>Findings</w:t>
            </w:r>
          </w:p>
        </w:tc>
        <w:tc>
          <w:tcPr>
            <w:tcW w:w="1845" w:type="dxa"/>
          </w:tcPr>
          <w:p>
            <w:pPr>
              <w:pStyle w:val="TableParagraph"/>
              <w:spacing w:before="69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</w:tr>
      <w:tr>
        <w:trPr>
          <w:trHeight w:val="375" w:hRule="atLeast"/>
        </w:trPr>
        <w:tc>
          <w:tcPr>
            <w:tcW w:w="2385" w:type="dxa"/>
          </w:tcPr>
          <w:p>
            <w:pPr>
              <w:pStyle w:val="TableParagraph"/>
              <w:spacing w:before="71"/>
              <w:ind w:left="24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4.2</w:t>
            </w:r>
          </w:p>
        </w:tc>
        <w:tc>
          <w:tcPr>
            <w:tcW w:w="5580" w:type="dxa"/>
          </w:tcPr>
          <w:p>
            <w:pPr>
              <w:pStyle w:val="TableParagraph"/>
              <w:spacing w:before="71"/>
              <w:ind w:left="247"/>
              <w:rPr>
                <w:sz w:val="24"/>
              </w:rPr>
            </w:pPr>
            <w:r>
              <w:rPr>
                <w:sz w:val="24"/>
              </w:rPr>
              <w:t>Cachar Map </w:t>
            </w:r>
            <w:r>
              <w:rPr>
                <w:spacing w:val="-2"/>
                <w:sz w:val="24"/>
              </w:rPr>
              <w:t>Findings</w:t>
            </w:r>
          </w:p>
        </w:tc>
        <w:tc>
          <w:tcPr>
            <w:tcW w:w="1845" w:type="dxa"/>
          </w:tcPr>
          <w:p>
            <w:pPr>
              <w:pStyle w:val="TableParagraph"/>
              <w:spacing w:before="71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>
        <w:trPr>
          <w:trHeight w:val="390" w:hRule="atLeast"/>
        </w:trPr>
        <w:tc>
          <w:tcPr>
            <w:tcW w:w="2385" w:type="dxa"/>
          </w:tcPr>
          <w:p>
            <w:pPr>
              <w:pStyle w:val="TableParagraph"/>
              <w:spacing w:before="74"/>
              <w:ind w:left="24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4.3</w:t>
            </w:r>
          </w:p>
        </w:tc>
        <w:tc>
          <w:tcPr>
            <w:tcW w:w="5580" w:type="dxa"/>
          </w:tcPr>
          <w:p>
            <w:pPr>
              <w:pStyle w:val="TableParagraph"/>
              <w:spacing w:before="74"/>
              <w:ind w:left="247"/>
              <w:rPr>
                <w:sz w:val="24"/>
              </w:rPr>
            </w:pPr>
            <w:r>
              <w:rPr>
                <w:sz w:val="24"/>
              </w:rPr>
              <w:t>Side-by-Side </w:t>
            </w:r>
            <w:r>
              <w:rPr>
                <w:spacing w:val="-2"/>
                <w:sz w:val="24"/>
              </w:rPr>
              <w:t>Comparison</w:t>
            </w:r>
          </w:p>
        </w:tc>
        <w:tc>
          <w:tcPr>
            <w:tcW w:w="1845" w:type="dxa"/>
          </w:tcPr>
          <w:p>
            <w:pPr>
              <w:pStyle w:val="TableParagraph"/>
              <w:spacing w:before="74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</w:tr>
      <w:tr>
        <w:trPr>
          <w:trHeight w:val="375" w:hRule="atLeast"/>
        </w:trPr>
        <w:tc>
          <w:tcPr>
            <w:tcW w:w="2385" w:type="dxa"/>
          </w:tcPr>
          <w:p>
            <w:pPr>
              <w:pStyle w:val="TableParagraph"/>
              <w:spacing w:before="61"/>
              <w:ind w:left="24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4.4</w:t>
            </w:r>
          </w:p>
        </w:tc>
        <w:tc>
          <w:tcPr>
            <w:tcW w:w="5580" w:type="dxa"/>
          </w:tcPr>
          <w:p>
            <w:pPr>
              <w:pStyle w:val="TableParagraph"/>
              <w:spacing w:before="61"/>
              <w:ind w:left="247"/>
              <w:rPr>
                <w:sz w:val="24"/>
              </w:rPr>
            </w:pPr>
            <w:r>
              <w:rPr>
                <w:sz w:val="24"/>
              </w:rPr>
              <w:t>Supporting Quantitative </w:t>
            </w:r>
            <w:r>
              <w:rPr>
                <w:spacing w:val="-2"/>
                <w:sz w:val="24"/>
              </w:rPr>
              <w:t>Evidence</w:t>
            </w:r>
          </w:p>
        </w:tc>
        <w:tc>
          <w:tcPr>
            <w:tcW w:w="1845" w:type="dxa"/>
          </w:tcPr>
          <w:p>
            <w:pPr>
              <w:pStyle w:val="TableParagraph"/>
              <w:spacing w:before="61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</w:tr>
      <w:tr>
        <w:trPr>
          <w:trHeight w:val="375" w:hRule="atLeast"/>
        </w:trPr>
        <w:tc>
          <w:tcPr>
            <w:tcW w:w="2385" w:type="dxa"/>
            <w:shd w:val="clear" w:color="auto" w:fill="E6E6E6"/>
          </w:tcPr>
          <w:p>
            <w:pPr>
              <w:pStyle w:val="TableParagraph"/>
              <w:spacing w:before="63"/>
              <w:ind w:left="24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Chapter </w:t>
            </w: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5580" w:type="dxa"/>
            <w:shd w:val="clear" w:color="auto" w:fill="E6E6E6"/>
          </w:tcPr>
          <w:p>
            <w:pPr>
              <w:pStyle w:val="TableParagraph"/>
              <w:spacing w:before="63"/>
              <w:ind w:left="247"/>
              <w:rPr>
                <w:b/>
                <w:sz w:val="24"/>
              </w:rPr>
            </w:pPr>
            <w:r>
              <w:rPr>
                <w:b/>
                <w:sz w:val="24"/>
              </w:rPr>
              <w:t>RESULT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DISCUSSION</w:t>
            </w:r>
          </w:p>
        </w:tc>
        <w:tc>
          <w:tcPr>
            <w:tcW w:w="1845" w:type="dxa"/>
            <w:shd w:val="clear" w:color="auto" w:fill="E6E6E6"/>
          </w:tcPr>
          <w:p>
            <w:pPr>
              <w:pStyle w:val="TableParagraph"/>
              <w:spacing w:before="63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24</w:t>
            </w:r>
          </w:p>
        </w:tc>
      </w:tr>
      <w:tr>
        <w:trPr>
          <w:trHeight w:val="375" w:hRule="atLeast"/>
        </w:trPr>
        <w:tc>
          <w:tcPr>
            <w:tcW w:w="2385" w:type="dxa"/>
          </w:tcPr>
          <w:p>
            <w:pPr>
              <w:pStyle w:val="TableParagraph"/>
              <w:spacing w:before="66"/>
              <w:ind w:left="24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5.1</w:t>
            </w:r>
          </w:p>
        </w:tc>
        <w:tc>
          <w:tcPr>
            <w:tcW w:w="5580" w:type="dxa"/>
          </w:tcPr>
          <w:p>
            <w:pPr>
              <w:pStyle w:val="TableParagraph"/>
              <w:spacing w:before="66"/>
              <w:ind w:left="247"/>
              <w:rPr>
                <w:sz w:val="24"/>
              </w:rPr>
            </w:pPr>
            <w:r>
              <w:rPr>
                <w:spacing w:val="-2"/>
                <w:sz w:val="24"/>
              </w:rPr>
              <w:t>Interpretation</w:t>
            </w:r>
          </w:p>
        </w:tc>
        <w:tc>
          <w:tcPr>
            <w:tcW w:w="1845" w:type="dxa"/>
          </w:tcPr>
          <w:p>
            <w:pPr>
              <w:pStyle w:val="TableParagraph"/>
              <w:spacing w:before="66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</w:tr>
      <w:tr>
        <w:trPr>
          <w:trHeight w:val="375" w:hRule="atLeast"/>
        </w:trPr>
        <w:tc>
          <w:tcPr>
            <w:tcW w:w="2385" w:type="dxa"/>
          </w:tcPr>
          <w:p>
            <w:pPr>
              <w:pStyle w:val="TableParagraph"/>
              <w:spacing w:before="68"/>
              <w:ind w:left="24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5.2</w:t>
            </w:r>
          </w:p>
        </w:tc>
        <w:tc>
          <w:tcPr>
            <w:tcW w:w="5580" w:type="dxa"/>
          </w:tcPr>
          <w:p>
            <w:pPr>
              <w:pStyle w:val="TableParagraph"/>
              <w:spacing w:before="68"/>
              <w:ind w:left="247"/>
              <w:rPr>
                <w:sz w:val="24"/>
              </w:rPr>
            </w:pPr>
            <w:r>
              <w:rPr>
                <w:sz w:val="24"/>
              </w:rPr>
              <w:t>Comparison with </w:t>
            </w:r>
            <w:r>
              <w:rPr>
                <w:spacing w:val="-2"/>
                <w:sz w:val="24"/>
              </w:rPr>
              <w:t>Literature</w:t>
            </w:r>
          </w:p>
        </w:tc>
        <w:tc>
          <w:tcPr>
            <w:tcW w:w="1845" w:type="dxa"/>
          </w:tcPr>
          <w:p>
            <w:pPr>
              <w:pStyle w:val="TableParagraph"/>
              <w:spacing w:before="68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</w:tr>
      <w:tr>
        <w:trPr>
          <w:trHeight w:val="375" w:hRule="atLeast"/>
        </w:trPr>
        <w:tc>
          <w:tcPr>
            <w:tcW w:w="2385" w:type="dxa"/>
          </w:tcPr>
          <w:p>
            <w:pPr>
              <w:pStyle w:val="TableParagraph"/>
              <w:spacing w:before="71"/>
              <w:ind w:left="24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5.3</w:t>
            </w:r>
          </w:p>
        </w:tc>
        <w:tc>
          <w:tcPr>
            <w:tcW w:w="5580" w:type="dxa"/>
          </w:tcPr>
          <w:p>
            <w:pPr>
              <w:pStyle w:val="TableParagraph"/>
              <w:spacing w:before="71"/>
              <w:ind w:left="247"/>
              <w:rPr>
                <w:sz w:val="24"/>
              </w:rPr>
            </w:pPr>
            <w:r>
              <w:rPr>
                <w:spacing w:val="-2"/>
                <w:sz w:val="24"/>
              </w:rPr>
              <w:t>Recommendations</w:t>
            </w:r>
          </w:p>
        </w:tc>
        <w:tc>
          <w:tcPr>
            <w:tcW w:w="1845" w:type="dxa"/>
          </w:tcPr>
          <w:p>
            <w:pPr>
              <w:pStyle w:val="TableParagraph"/>
              <w:spacing w:before="71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</w:tr>
      <w:tr>
        <w:trPr>
          <w:trHeight w:val="390" w:hRule="atLeast"/>
        </w:trPr>
        <w:tc>
          <w:tcPr>
            <w:tcW w:w="2385" w:type="dxa"/>
          </w:tcPr>
          <w:p>
            <w:pPr>
              <w:pStyle w:val="TableParagraph"/>
              <w:spacing w:before="73"/>
              <w:ind w:left="24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5.4</w:t>
            </w:r>
          </w:p>
        </w:tc>
        <w:tc>
          <w:tcPr>
            <w:tcW w:w="5580" w:type="dxa"/>
          </w:tcPr>
          <w:p>
            <w:pPr>
              <w:pStyle w:val="TableParagraph"/>
              <w:spacing w:before="73"/>
              <w:ind w:left="247"/>
              <w:rPr>
                <w:sz w:val="24"/>
              </w:rPr>
            </w:pPr>
            <w:r>
              <w:rPr>
                <w:spacing w:val="-2"/>
                <w:sz w:val="24"/>
              </w:rPr>
              <w:t>Conclusion</w:t>
            </w:r>
          </w:p>
        </w:tc>
        <w:tc>
          <w:tcPr>
            <w:tcW w:w="1845" w:type="dxa"/>
          </w:tcPr>
          <w:p>
            <w:pPr>
              <w:pStyle w:val="TableParagraph"/>
              <w:spacing w:before="73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</w:tr>
      <w:tr>
        <w:trPr>
          <w:trHeight w:val="375" w:hRule="atLeast"/>
        </w:trPr>
        <w:tc>
          <w:tcPr>
            <w:tcW w:w="2385" w:type="dxa"/>
            <w:tcBorders>
              <w:bottom w:val="single" w:sz="6" w:space="0" w:color="B5B5B5"/>
            </w:tcBorders>
            <w:shd w:val="clear" w:color="auto" w:fill="E6E6E6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5580" w:type="dxa"/>
            <w:tcBorders>
              <w:bottom w:val="single" w:sz="6" w:space="0" w:color="B5B5B5"/>
            </w:tcBorders>
            <w:shd w:val="clear" w:color="auto" w:fill="E6E6E6"/>
          </w:tcPr>
          <w:p>
            <w:pPr>
              <w:pStyle w:val="TableParagraph"/>
              <w:spacing w:before="60"/>
              <w:ind w:left="24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References</w:t>
            </w:r>
          </w:p>
        </w:tc>
        <w:tc>
          <w:tcPr>
            <w:tcW w:w="1845" w:type="dxa"/>
            <w:tcBorders>
              <w:bottom w:val="single" w:sz="6" w:space="0" w:color="B5B5B5"/>
            </w:tcBorders>
            <w:shd w:val="clear" w:color="auto" w:fill="E6E6E6"/>
          </w:tcPr>
          <w:p>
            <w:pPr>
              <w:pStyle w:val="TableParagraph"/>
              <w:spacing w:before="60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24</w:t>
            </w:r>
          </w:p>
        </w:tc>
      </w:tr>
    </w:tbl>
    <w:p>
      <w:pPr>
        <w:pStyle w:val="TableParagraph"/>
        <w:spacing w:after="0"/>
        <w:jc w:val="center"/>
        <w:rPr>
          <w:b/>
          <w:sz w:val="24"/>
        </w:rPr>
        <w:sectPr>
          <w:pgSz w:w="12240" w:h="15840"/>
          <w:pgMar w:header="727" w:footer="0" w:top="1340" w:bottom="280" w:left="1440" w:right="720"/>
        </w:sectPr>
      </w:pPr>
    </w:p>
    <w:p>
      <w:pPr>
        <w:pStyle w:val="Heading1"/>
      </w:pPr>
      <w:r>
        <w:rPr/>
        <w:t>CHAPTER</w:t>
      </w:r>
      <w:r>
        <w:rPr>
          <w:spacing w:val="-3"/>
        </w:rPr>
        <w:t> </w:t>
      </w:r>
      <w:r>
        <w:rPr/>
        <w:t>1:</w:t>
      </w:r>
      <w:r>
        <w:rPr>
          <w:spacing w:val="-1"/>
        </w:rPr>
        <w:t> </w:t>
      </w:r>
      <w:r>
        <w:rPr>
          <w:spacing w:val="-2"/>
        </w:rPr>
        <w:t>INTRODUCTION</w:t>
      </w:r>
    </w:p>
    <w:p>
      <w:pPr>
        <w:pStyle w:val="Heading2"/>
        <w:numPr>
          <w:ilvl w:val="1"/>
          <w:numId w:val="1"/>
        </w:numPr>
        <w:tabs>
          <w:tab w:pos="419" w:val="left" w:leader="none"/>
        </w:tabs>
        <w:spacing w:line="240" w:lineRule="auto" w:before="255" w:after="0"/>
        <w:ind w:left="419" w:right="0" w:hanging="419"/>
        <w:jc w:val="left"/>
      </w:pPr>
      <w:r>
        <w:rPr/>
        <w:t>Background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Study</w:t>
      </w:r>
    </w:p>
    <w:p>
      <w:pPr>
        <w:pStyle w:val="BodyText"/>
        <w:spacing w:line="276" w:lineRule="auto" w:before="129"/>
        <w:ind w:right="721"/>
      </w:pPr>
      <w:r>
        <w:rPr/>
        <w:t>Flooding is a recurrent natural hazard in many parts of India and its impacts are strongly controlled </w:t>
      </w:r>
      <w:r>
        <w:rPr/>
        <w:t>by</w:t>
      </w:r>
      <w:r>
        <w:rPr/>
        <w:t> local geography. A flood does not affect every location within a district equally. Low-lying </w:t>
      </w:r>
      <w:r>
        <w:rPr/>
        <w:t>terrain,</w:t>
      </w:r>
      <w:r>
        <w:rPr/>
        <w:t> proximity to rivers and streams, poor drainage, intense rainfall, high drainage density and </w:t>
      </w:r>
      <w:r>
        <w:rPr/>
        <w:t>human</w:t>
      </w:r>
      <w:r>
        <w:rPr/>
        <w:t> settlement can combine to increase exposure and potential damage. GIS provides a practical </w:t>
      </w:r>
      <w:r>
        <w:rPr/>
        <w:t>framework</w:t>
      </w:r>
      <w:r>
        <w:rPr/>
        <w:t> for integrating these spatial factors into a single decision-support environment.</w:t>
      </w:r>
    </w:p>
    <w:p>
      <w:pPr>
        <w:pStyle w:val="BodyText"/>
        <w:spacing w:line="276" w:lineRule="auto"/>
        <w:ind w:right="720"/>
      </w:pPr>
      <w:r>
        <w:rPr/>
        <w:t>The present project focuses on a comparative reading of two map products rather than attempting </w:t>
      </w:r>
      <w:r>
        <w:rPr/>
        <w:t>to</w:t>
      </w:r>
      <w:r>
        <w:rPr/>
        <w:t> reproduce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unknown</w:t>
      </w:r>
      <w:r>
        <w:rPr>
          <w:spacing w:val="-4"/>
        </w:rPr>
        <w:t> </w:t>
      </w:r>
      <w:r>
        <w:rPr/>
        <w:t>original</w:t>
      </w:r>
      <w:r>
        <w:rPr>
          <w:spacing w:val="-4"/>
        </w:rPr>
        <w:t> </w:t>
      </w:r>
      <w:r>
        <w:rPr/>
        <w:t>modelling</w:t>
      </w:r>
      <w:r>
        <w:rPr>
          <w:spacing w:val="-4"/>
        </w:rPr>
        <w:t> </w:t>
      </w:r>
      <w:r>
        <w:rPr/>
        <w:t>workflow.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/>
        <w:t>supplied</w:t>
      </w:r>
      <w:r>
        <w:rPr>
          <w:spacing w:val="-4"/>
        </w:rPr>
        <w:t> </w:t>
      </w:r>
      <w:r>
        <w:rPr/>
        <w:t>map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titled</w:t>
      </w:r>
      <w:r>
        <w:rPr>
          <w:spacing w:val="-4"/>
        </w:rPr>
        <w:t> </w:t>
      </w:r>
      <w:r>
        <w:rPr/>
        <w:t>“Flood</w:t>
      </w:r>
      <w:r>
        <w:rPr>
          <w:spacing w:val="-4"/>
        </w:rPr>
        <w:t> </w:t>
      </w:r>
      <w:r>
        <w:rPr/>
        <w:t>Risk</w:t>
      </w:r>
      <w:r>
        <w:rPr>
          <w:spacing w:val="-4"/>
        </w:rPr>
        <w:t> </w:t>
      </w:r>
      <w:r>
        <w:rPr/>
        <w:t>Analysis</w:t>
      </w:r>
      <w:r>
        <w:rPr/>
        <w:t> Hardoi 2025”. It uses a five-class legend: Very</w:t>
      </w:r>
      <w:r>
        <w:rPr>
          <w:spacing w:val="-5"/>
        </w:rPr>
        <w:t> </w:t>
      </w:r>
      <w:r>
        <w:rPr/>
        <w:t>Low</w:t>
      </w:r>
      <w:r>
        <w:rPr>
          <w:spacing w:val="-5"/>
        </w:rPr>
        <w:t> </w:t>
      </w:r>
      <w:r>
        <w:rPr/>
        <w:t>Risk,</w:t>
      </w:r>
      <w:r>
        <w:rPr>
          <w:spacing w:val="-5"/>
        </w:rPr>
        <w:t> </w:t>
      </w:r>
      <w:r>
        <w:rPr/>
        <w:t>Low</w:t>
      </w:r>
      <w:r>
        <w:rPr>
          <w:spacing w:val="-5"/>
        </w:rPr>
        <w:t> </w:t>
      </w:r>
      <w:r>
        <w:rPr/>
        <w:t>Risk,</w:t>
      </w:r>
      <w:r>
        <w:rPr>
          <w:spacing w:val="-5"/>
        </w:rPr>
        <w:t> </w:t>
      </w:r>
      <w:r>
        <w:rPr/>
        <w:t>Moderate</w:t>
      </w:r>
      <w:r>
        <w:rPr>
          <w:spacing w:val="-5"/>
        </w:rPr>
        <w:t> </w:t>
      </w:r>
      <w:r>
        <w:rPr/>
        <w:t>Risk,</w:t>
      </w:r>
      <w:r>
        <w:rPr>
          <w:spacing w:val="-5"/>
        </w:rPr>
        <w:t> </w:t>
      </w:r>
      <w:r>
        <w:rPr/>
        <w:t>High</w:t>
      </w:r>
      <w:r>
        <w:rPr>
          <w:spacing w:val="-5"/>
        </w:rPr>
        <w:t> </w:t>
      </w:r>
      <w:r>
        <w:rPr/>
        <w:t>Risk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V</w:t>
      </w:r>
      <w:r>
        <w:rPr/>
        <w:t>ery</w:t>
      </w:r>
      <w:r>
        <w:rPr/>
        <w:t> High Risk. The second supplied map is titled “GIS-Based Flood Vulnerability Assessment of </w:t>
      </w:r>
      <w:r>
        <w:rPr/>
        <w:t>Cachar</w:t>
      </w:r>
      <w:r>
        <w:rPr/>
        <w:t> District, Assam”. It also uses five classes: Very Low, Low, Moderate, High and Very High.</w:t>
      </w:r>
    </w:p>
    <w:p>
      <w:pPr>
        <w:pStyle w:val="BodyText"/>
        <w:spacing w:line="276" w:lineRule="auto"/>
        <w:ind w:right="720"/>
      </w:pPr>
      <w:r>
        <w:rPr/>
        <w:t>The common five-class structure creates an opportunity for comparative interpretation. However, </w:t>
      </w:r>
      <w:r>
        <w:rPr/>
        <w:t>the</w:t>
      </w:r>
      <w:r>
        <w:rPr/>
        <w:t> terms risk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vulnerability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interchangeable.</w:t>
      </w:r>
      <w:r>
        <w:rPr>
          <w:spacing w:val="-4"/>
        </w:rPr>
        <w:t> </w:t>
      </w:r>
      <w:r>
        <w:rPr/>
        <w:t>Risk</w:t>
      </w:r>
      <w:r>
        <w:rPr>
          <w:spacing w:val="-4"/>
        </w:rPr>
        <w:t> </w:t>
      </w:r>
      <w:r>
        <w:rPr/>
        <w:t>normally</w:t>
      </w:r>
      <w:r>
        <w:rPr>
          <w:spacing w:val="-4"/>
        </w:rPr>
        <w:t> </w:t>
      </w:r>
      <w:r>
        <w:rPr/>
        <w:t>combines</w:t>
      </w:r>
      <w:r>
        <w:rPr>
          <w:spacing w:val="-4"/>
        </w:rPr>
        <w:t> </w:t>
      </w:r>
      <w:r>
        <w:rPr/>
        <w:t>hazard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exposure</w:t>
      </w:r>
      <w:r>
        <w:rPr>
          <w:spacing w:val="-4"/>
        </w:rPr>
        <w:t> </w:t>
      </w:r>
      <w:r>
        <w:rPr/>
        <w:t>and/or</w:t>
      </w:r>
      <w:r>
        <w:rPr/>
        <w:t> vulnerability, whereas vulnerability describes the degree to which people, assets or systems may </w:t>
      </w:r>
      <w:r>
        <w:rPr/>
        <w:t>be</w:t>
      </w:r>
      <w:r>
        <w:rPr/>
        <w:t> susceptible to harm. Therefore, this report compares the spatial outputs while explicitly retaining </w:t>
      </w:r>
      <w:r>
        <w:rPr/>
        <w:t>the</w:t>
      </w:r>
      <w:r>
        <w:rPr/>
        <w:t> terminology used in each original map.</w:t>
      </w:r>
    </w:p>
    <w:p>
      <w:pPr>
        <w:pStyle w:val="BodyText"/>
        <w:spacing w:line="276" w:lineRule="auto"/>
        <w:ind w:right="718"/>
      </w:pPr>
      <w:r>
        <w:rPr/>
        <w:t>The Hardoi map has a scale bar extending to 16.4 km and presents the district as a compact </w:t>
      </w:r>
      <w:r>
        <w:rPr/>
        <w:t>study</w:t>
      </w:r>
      <w:r>
        <w:rPr/>
        <w:t> boundary with a simple north arrow. The Cachar map has a scale bar extending to 34 km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includes</w:t>
      </w:r>
      <w:r>
        <w:rPr>
          <w:spacing w:val="-3"/>
        </w:rPr>
        <w:t> </w:t>
      </w:r>
      <w:r>
        <w:rPr/>
        <w:t>a</w:t>
      </w:r>
      <w:r>
        <w:rPr/>
        <w:t> district outline, a larger compass symbol and a clearer administrative boundary legend. These </w:t>
      </w:r>
      <w:r>
        <w:rPr/>
        <w:t>layout</w:t>
      </w:r>
      <w:r>
        <w:rPr/>
        <w:t> differences are relevant because cartographic design affects how spatial patterns are read.</w:t>
      </w:r>
    </w:p>
    <w:p>
      <w:pPr>
        <w:pStyle w:val="Heading2"/>
        <w:numPr>
          <w:ilvl w:val="1"/>
          <w:numId w:val="1"/>
        </w:numPr>
        <w:tabs>
          <w:tab w:pos="419" w:val="left" w:leader="none"/>
        </w:tabs>
        <w:spacing w:line="240" w:lineRule="auto" w:before="200" w:after="0"/>
        <w:ind w:left="419" w:right="0" w:hanging="419"/>
        <w:jc w:val="left"/>
      </w:pPr>
      <w:r>
        <w:rPr/>
        <w:t>Rationale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Comparative</w:t>
      </w:r>
      <w:r>
        <w:rPr>
          <w:spacing w:val="-1"/>
        </w:rPr>
        <w:t> </w:t>
      </w:r>
      <w:r>
        <w:rPr>
          <w:spacing w:val="-2"/>
        </w:rPr>
        <w:t>Assessment</w:t>
      </w:r>
    </w:p>
    <w:p>
      <w:pPr>
        <w:pStyle w:val="BodyText"/>
        <w:spacing w:line="276" w:lineRule="auto" w:before="48"/>
        <w:ind w:right="719"/>
      </w:pPr>
      <w:r>
        <w:rPr/>
        <w:t>A single flood map is useful for identifying priority areas, but comparison between districts provides </w:t>
      </w:r>
      <w:r>
        <w:rPr/>
        <w:t>a</w:t>
      </w:r>
      <w:r>
        <w:rPr/>
        <w:t> broader</w:t>
      </w:r>
      <w:r>
        <w:rPr>
          <w:spacing w:val="-4"/>
        </w:rPr>
        <w:t> </w:t>
      </w:r>
      <w:r>
        <w:rPr/>
        <w:t>understanding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similar</w:t>
      </w:r>
      <w:r>
        <w:rPr>
          <w:spacing w:val="-4"/>
        </w:rPr>
        <w:t> </w:t>
      </w:r>
      <w:r>
        <w:rPr/>
        <w:t>classification</w:t>
      </w:r>
      <w:r>
        <w:rPr>
          <w:spacing w:val="-4"/>
        </w:rPr>
        <w:t> </w:t>
      </w:r>
      <w:r>
        <w:rPr/>
        <w:t>schemes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produce</w:t>
      </w:r>
      <w:r>
        <w:rPr>
          <w:spacing w:val="-4"/>
        </w:rPr>
        <w:t> </w:t>
      </w:r>
      <w:r>
        <w:rPr/>
        <w:t>different</w:t>
      </w:r>
      <w:r>
        <w:rPr>
          <w:spacing w:val="-4"/>
        </w:rPr>
        <w:t> </w:t>
      </w:r>
      <w:r>
        <w:rPr/>
        <w:t>spatial</w:t>
      </w:r>
      <w:r>
        <w:rPr>
          <w:spacing w:val="-4"/>
        </w:rPr>
        <w:t> </w:t>
      </w:r>
      <w:r>
        <w:rPr/>
        <w:t>patterns.</w:t>
      </w:r>
      <w:r>
        <w:rPr>
          <w:spacing w:val="-4"/>
        </w:rPr>
        <w:t> </w:t>
      </w:r>
      <w:r>
        <w:rPr/>
        <w:t>Hardoi</w:t>
      </w:r>
      <w:r>
        <w:rPr/>
        <w:t> and Cachar are geographically distinct. Hardoi lies in the northern Indian plain environment of </w:t>
      </w:r>
      <w:r>
        <w:rPr/>
        <w:t>Uttar</w:t>
      </w:r>
      <w:r>
        <w:rPr/>
        <w:t> Pradesh, whereas</w:t>
      </w:r>
      <w:r>
        <w:rPr>
          <w:spacing w:val="-3"/>
        </w:rPr>
        <w:t> </w:t>
      </w:r>
      <w:r>
        <w:rPr/>
        <w:t>Cachar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southern</w:t>
      </w:r>
      <w:r>
        <w:rPr>
          <w:spacing w:val="-3"/>
        </w:rPr>
        <w:t> </w:t>
      </w:r>
      <w:r>
        <w:rPr/>
        <w:t>Assam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strongly</w:t>
      </w:r>
      <w:r>
        <w:rPr>
          <w:spacing w:val="-3"/>
        </w:rPr>
        <w:t> </w:t>
      </w:r>
      <w:r>
        <w:rPr/>
        <w:t>associated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Barak</w:t>
      </w:r>
      <w:r>
        <w:rPr>
          <w:spacing w:val="-3"/>
        </w:rPr>
        <w:t> </w:t>
      </w:r>
      <w:r>
        <w:rPr/>
        <w:t>River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and</w:t>
      </w:r>
      <w:r>
        <w:rPr/>
        <w:t> a humid</w:t>
      </w:r>
      <w:r>
        <w:rPr>
          <w:spacing w:val="-3"/>
        </w:rPr>
        <w:t> </w:t>
      </w:r>
      <w:r>
        <w:rPr/>
        <w:t>monsoon</w:t>
      </w:r>
      <w:r>
        <w:rPr>
          <w:spacing w:val="-3"/>
        </w:rPr>
        <w:t> </w:t>
      </w:r>
      <w:r>
        <w:rPr/>
        <w:t>setting.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comparison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valuable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three</w:t>
      </w:r>
      <w:r>
        <w:rPr>
          <w:spacing w:val="-3"/>
        </w:rPr>
        <w:t> </w:t>
      </w:r>
      <w:r>
        <w:rPr/>
        <w:t>reasons.</w:t>
      </w:r>
      <w:r>
        <w:rPr>
          <w:spacing w:val="-3"/>
        </w:rPr>
        <w:t> </w:t>
      </w:r>
      <w:r>
        <w:rPr/>
        <w:t>First,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identifies</w:t>
      </w:r>
      <w:r>
        <w:rPr>
          <w:spacing w:val="-3"/>
        </w:rPr>
        <w:t> </w:t>
      </w:r>
      <w:r>
        <w:rPr/>
        <w:t>common</w:t>
      </w:r>
      <w:r>
        <w:rPr>
          <w:spacing w:val="-3"/>
        </w:rPr>
        <w:t> </w:t>
      </w:r>
      <w:r>
        <w:rPr/>
        <w:t>spatial</w:t>
      </w:r>
      <w:r>
        <w:rPr/>
        <w:t> signatures such as concentration of higher classes around drainage-related corridors.</w:t>
      </w:r>
      <w:r>
        <w:rPr>
          <w:spacing w:val="-3"/>
        </w:rPr>
        <w:t> </w:t>
      </w:r>
      <w:r>
        <w:rPr/>
        <w:t>Second,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identifies</w:t>
      </w:r>
      <w:r>
        <w:rPr/>
        <w:t> differences in the continuity and distribution of higher-risk classes. Third, it highlights an</w:t>
      </w:r>
      <w:r>
        <w:rPr>
          <w:spacing w:val="-3"/>
        </w:rPr>
        <w:t> </w:t>
      </w:r>
      <w:r>
        <w:rPr/>
        <w:t>important</w:t>
      </w:r>
      <w:r>
        <w:rPr>
          <w:spacing w:val="-3"/>
        </w:rPr>
        <w:t> </w:t>
      </w:r>
      <w:r>
        <w:rPr/>
        <w:t>GIS</w:t>
      </w:r>
      <w:r>
        <w:rPr/>
        <w:t> principle: map outputs cannot be compared numerically unless their input data, spatial </w:t>
      </w:r>
      <w:r>
        <w:rPr/>
        <w:t>resolution,</w:t>
      </w:r>
      <w:r>
        <w:rPr/>
        <w:t> weighting system, classification thresholds and validation procedures are compatible.</w:t>
      </w:r>
    </w:p>
    <w:p>
      <w:pPr>
        <w:pStyle w:val="BodyText"/>
        <w:spacing w:line="276" w:lineRule="auto"/>
        <w:ind w:right="721"/>
      </w:pPr>
      <w:r>
        <w:rPr/>
        <w:t>The supplied Hardoi map</w:t>
      </w:r>
      <w:r>
        <w:rPr>
          <w:spacing w:val="-5"/>
        </w:rPr>
        <w:t> </w:t>
      </w:r>
      <w:r>
        <w:rPr/>
        <w:t>visually</w:t>
      </w:r>
      <w:r>
        <w:rPr>
          <w:spacing w:val="-5"/>
        </w:rPr>
        <w:t> </w:t>
      </w:r>
      <w:r>
        <w:rPr/>
        <w:t>contains</w:t>
      </w:r>
      <w:r>
        <w:rPr>
          <w:spacing w:val="-5"/>
        </w:rPr>
        <w:t> </w:t>
      </w:r>
      <w:r>
        <w:rPr/>
        <w:t>numerous</w:t>
      </w:r>
      <w:r>
        <w:rPr>
          <w:spacing w:val="-5"/>
        </w:rPr>
        <w:t> </w:t>
      </w:r>
      <w:r>
        <w:rPr/>
        <w:t>red</w:t>
      </w:r>
      <w:r>
        <w:rPr>
          <w:spacing w:val="-5"/>
        </w:rPr>
        <w:t> </w:t>
      </w:r>
      <w:r>
        <w:rPr/>
        <w:t>Very</w:t>
      </w:r>
      <w:r>
        <w:rPr>
          <w:spacing w:val="-5"/>
        </w:rPr>
        <w:t> </w:t>
      </w:r>
      <w:r>
        <w:rPr/>
        <w:t>High</w:t>
      </w:r>
      <w:r>
        <w:rPr>
          <w:spacing w:val="-5"/>
        </w:rPr>
        <w:t> </w:t>
      </w:r>
      <w:r>
        <w:rPr/>
        <w:t>Risk</w:t>
      </w:r>
      <w:r>
        <w:rPr>
          <w:spacing w:val="-5"/>
        </w:rPr>
        <w:t> </w:t>
      </w:r>
      <w:r>
        <w:rPr/>
        <w:t>patches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elongated</w:t>
      </w:r>
      <w:r>
        <w:rPr>
          <w:spacing w:val="-5"/>
        </w:rPr>
        <w:t> </w:t>
      </w:r>
      <w:r>
        <w:rPr/>
        <w:t>high-</w:t>
      </w:r>
      <w:r>
        <w:rPr/>
        <w:t>risk</w:t>
      </w:r>
      <w:r>
        <w:rPr/>
        <w:t> structures. The supplied Cachar map shows a large orange-red transition zone, with strong </w:t>
      </w:r>
      <w:r>
        <w:rPr/>
        <w:t>red</w:t>
      </w:r>
      <w:r>
        <w:rPr/>
        <w:t> concentrations in several parts of the district and comparatively greener zones toward parts of </w:t>
      </w:r>
      <w:r>
        <w:rPr/>
        <w:t>the</w:t>
      </w:r>
      <w:r>
        <w:rPr>
          <w:spacing w:val="40"/>
        </w:rPr>
        <w:t> </w:t>
      </w:r>
      <w:r>
        <w:rPr/>
        <w:t>northern and peripheral landscape. These visual differences form the central</w:t>
      </w:r>
      <w:r>
        <w:rPr>
          <w:spacing w:val="-3"/>
        </w:rPr>
        <w:t> </w:t>
      </w:r>
      <w:r>
        <w:rPr/>
        <w:t>evidence</w:t>
      </w:r>
      <w:r>
        <w:rPr>
          <w:spacing w:val="-3"/>
        </w:rPr>
        <w:t> </w:t>
      </w:r>
      <w:r>
        <w:rPr/>
        <w:t>base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report.</w:t>
      </w:r>
      <w:r>
        <w:rPr/>
        <w:t> The project therefore treats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maps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spatial</w:t>
      </w:r>
      <w:r>
        <w:rPr>
          <w:spacing w:val="-3"/>
        </w:rPr>
        <w:t> </w:t>
      </w:r>
      <w:r>
        <w:rPr/>
        <w:t>evidence</w:t>
      </w:r>
      <w:r>
        <w:rPr>
          <w:spacing w:val="-3"/>
        </w:rPr>
        <w:t> </w:t>
      </w:r>
      <w:r>
        <w:rPr/>
        <w:t>rather</w:t>
      </w:r>
      <w:r>
        <w:rPr>
          <w:spacing w:val="-3"/>
        </w:rPr>
        <w:t> </w:t>
      </w:r>
      <w:r>
        <w:rPr/>
        <w:t>than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interchangeable</w:t>
      </w:r>
      <w:r>
        <w:rPr>
          <w:spacing w:val="-3"/>
        </w:rPr>
        <w:t> </w:t>
      </w:r>
      <w:r>
        <w:rPr/>
        <w:t>statistical</w:t>
      </w:r>
      <w:r>
        <w:rPr>
          <w:spacing w:val="-3"/>
        </w:rPr>
        <w:t> </w:t>
      </w:r>
      <w:r>
        <w:rPr/>
        <w:t>datasets.</w:t>
      </w:r>
      <w:r>
        <w:rPr/>
        <w:t> Where numerical values from published studies are introduced, they are presented separately </w:t>
      </w:r>
      <w:r>
        <w:rPr/>
        <w:t>as</w:t>
      </w:r>
      <w:r>
        <w:rPr/>
        <w:t> supporting evidence. This approach reduces the risk of assigning unsupported statistics to the </w:t>
      </w:r>
      <w:r>
        <w:rPr/>
        <w:t>supplied</w:t>
      </w:r>
      <w:r>
        <w:rPr/>
        <w:t> map images.</w:t>
      </w:r>
    </w:p>
    <w:p>
      <w:pPr>
        <w:pStyle w:val="BodyText"/>
        <w:spacing w:after="0" w:line="276" w:lineRule="auto"/>
        <w:sectPr>
          <w:pgSz w:w="12240" w:h="15840"/>
          <w:pgMar w:header="727" w:footer="0" w:top="1340" w:bottom="280" w:left="1440" w:right="720"/>
        </w:sectPr>
      </w:pPr>
    </w:p>
    <w:p>
      <w:pPr>
        <w:pStyle w:val="Heading2"/>
        <w:numPr>
          <w:ilvl w:val="1"/>
          <w:numId w:val="1"/>
        </w:numPr>
        <w:tabs>
          <w:tab w:pos="419" w:val="left" w:leader="none"/>
        </w:tabs>
        <w:spacing w:line="240" w:lineRule="auto" w:before="80" w:after="0"/>
        <w:ind w:left="419" w:right="0" w:hanging="419"/>
        <w:jc w:val="left"/>
      </w:pPr>
      <w:r>
        <w:rPr/>
        <w:t>Research</w:t>
      </w:r>
      <w:r>
        <w:rPr>
          <w:spacing w:val="-7"/>
        </w:rPr>
        <w:t> </w:t>
      </w:r>
      <w:r>
        <w:rPr>
          <w:spacing w:val="-2"/>
        </w:rPr>
        <w:t>Context</w:t>
      </w:r>
    </w:p>
    <w:p>
      <w:pPr>
        <w:pStyle w:val="BodyText"/>
        <w:spacing w:line="276" w:lineRule="auto" w:before="49"/>
        <w:ind w:right="721"/>
      </w:pPr>
      <w:r>
        <w:rPr/>
        <w:t>Modern flood susceptibility studies increasingly combine remote sensing, GIS and multi-</w:t>
      </w:r>
      <w:r>
        <w:rPr/>
        <w:t>criteria</w:t>
      </w:r>
      <w:r>
        <w:rPr>
          <w:spacing w:val="80"/>
        </w:rPr>
        <w:t> </w:t>
      </w:r>
      <w:r>
        <w:rPr/>
        <w:t>decision-making.</w:t>
      </w:r>
      <w:r>
        <w:rPr>
          <w:spacing w:val="80"/>
          <w:w w:val="150"/>
        </w:rPr>
        <w:t> </w:t>
      </w:r>
      <w:r>
        <w:rPr/>
        <w:t>Recent</w:t>
      </w:r>
      <w:r>
        <w:rPr>
          <w:spacing w:val="80"/>
          <w:w w:val="150"/>
        </w:rPr>
        <w:t> </w:t>
      </w:r>
      <w:r>
        <w:rPr/>
        <w:t>Indian</w:t>
      </w:r>
      <w:r>
        <w:rPr>
          <w:spacing w:val="80"/>
          <w:w w:val="150"/>
        </w:rPr>
        <w:t> </w:t>
      </w:r>
      <w:r>
        <w:rPr/>
        <w:t>studies</w:t>
      </w:r>
      <w:r>
        <w:rPr>
          <w:spacing w:val="80"/>
          <w:w w:val="150"/>
        </w:rPr>
        <w:t> </w:t>
      </w:r>
      <w:r>
        <w:rPr/>
        <w:t>have</w:t>
      </w:r>
      <w:r>
        <w:rPr>
          <w:spacing w:val="80"/>
          <w:w w:val="150"/>
        </w:rPr>
        <w:t> </w:t>
      </w:r>
      <w:r>
        <w:rPr/>
        <w:t>used</w:t>
      </w:r>
      <w:r>
        <w:rPr>
          <w:spacing w:val="80"/>
          <w:w w:val="150"/>
        </w:rPr>
        <w:t> </w:t>
      </w:r>
      <w:r>
        <w:rPr/>
        <w:t>AHP</w:t>
      </w:r>
      <w:r>
        <w:rPr>
          <w:spacing w:val="80"/>
          <w:w w:val="150"/>
        </w:rPr>
        <w:t> </w:t>
      </w:r>
      <w:r>
        <w:rPr/>
        <w:t>to</w:t>
      </w:r>
      <w:r>
        <w:rPr>
          <w:spacing w:val="80"/>
          <w:w w:val="150"/>
        </w:rPr>
        <w:t> </w:t>
      </w:r>
      <w:r>
        <w:rPr/>
        <w:t>assign</w:t>
      </w:r>
      <w:r>
        <w:rPr>
          <w:spacing w:val="80"/>
          <w:w w:val="150"/>
        </w:rPr>
        <w:t> </w:t>
      </w:r>
      <w:r>
        <w:rPr/>
        <w:t>relative</w:t>
      </w:r>
      <w:r>
        <w:rPr>
          <w:spacing w:val="80"/>
          <w:w w:val="150"/>
        </w:rPr>
        <w:t> </w:t>
      </w:r>
      <w:r>
        <w:rPr/>
        <w:t>importance</w:t>
      </w:r>
      <w:r>
        <w:rPr>
          <w:spacing w:val="80"/>
          <w:w w:val="150"/>
        </w:rPr>
        <w:t> </w:t>
      </w:r>
      <w:r>
        <w:rPr/>
        <w:t>t</w:t>
      </w:r>
      <w:r>
        <w:rPr/>
        <w:t>o</w:t>
      </w:r>
      <w:r>
        <w:rPr/>
        <w:t> flood-conditioning parameters and weighted-overlay methods to produce five-class susceptibility </w:t>
      </w:r>
      <w:r>
        <w:rPr/>
        <w:t>maps.</w:t>
      </w:r>
      <w:r>
        <w:rPr/>
        <w:t> The published Cachar study, for example, evaluated ten factors including elevation, slope, </w:t>
      </w:r>
      <w:r>
        <w:rPr/>
        <w:t>precipitation,</w:t>
      </w:r>
      <w:r>
        <w:rPr/>
        <w:t> LULC, NDVI, TWI, distance from roads, distance from rivers, drainage density and population density</w:t>
      </w:r>
      <w:r>
        <w:rPr/>
        <w:t>.</w:t>
      </w:r>
      <w:r>
        <w:rPr/>
        <w:t> </w:t>
      </w:r>
      <w:r>
        <w:rPr>
          <w:spacing w:val="-4"/>
        </w:rPr>
        <w:t>[1]</w:t>
      </w:r>
    </w:p>
    <w:p>
      <w:pPr>
        <w:pStyle w:val="BodyText"/>
        <w:spacing w:line="276" w:lineRule="auto"/>
        <w:ind w:right="722"/>
      </w:pPr>
      <w:r>
        <w:rPr/>
        <w:t>The wider literature demonstrates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flood</w:t>
      </w:r>
      <w:r>
        <w:rPr>
          <w:spacing w:val="-2"/>
        </w:rPr>
        <w:t> </w:t>
      </w:r>
      <w:r>
        <w:rPr/>
        <w:t>mapping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only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cartographic</w:t>
      </w:r>
      <w:r>
        <w:rPr>
          <w:spacing w:val="-2"/>
        </w:rPr>
        <w:t> </w:t>
      </w:r>
      <w:r>
        <w:rPr/>
        <w:t>exercise.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modelling</w:t>
      </w:r>
      <w:r>
        <w:rPr/>
        <w:t> problem in which the selection and weighting of variables determine the final spatial </w:t>
      </w:r>
      <w:r>
        <w:rPr/>
        <w:t>pattern.</w:t>
      </w:r>
      <w:r>
        <w:rPr/>
        <w:t> Consequently, a comparison report must examine both what the maps show and what cannot be</w:t>
      </w:r>
      <w:r>
        <w:rPr>
          <w:spacing w:val="-4"/>
        </w:rPr>
        <w:t> </w:t>
      </w:r>
      <w:r>
        <w:rPr/>
        <w:t>inferred</w:t>
      </w:r>
      <w:r>
        <w:rPr/>
        <w:t> from the map images.</w:t>
      </w:r>
    </w:p>
    <w:p>
      <w:pPr>
        <w:pStyle w:val="BodyText"/>
        <w:spacing w:line="276" w:lineRule="auto"/>
        <w:ind w:right="723"/>
      </w:pPr>
      <w:r>
        <w:rPr/>
        <w:t>This study adopts a descriptive-comparative design. It records the visible distribution of five </w:t>
      </w:r>
      <w:r>
        <w:rPr/>
        <w:t>flood</w:t>
      </w:r>
      <w:r>
        <w:rPr>
          <w:spacing w:val="40"/>
        </w:rPr>
        <w:t> </w:t>
      </w:r>
      <w:r>
        <w:rPr/>
        <w:t>classes, compares spatial concentration and continuity, examines cartographic characteristics, </w:t>
      </w:r>
      <w:r>
        <w:rPr/>
        <w:t>review</w:t>
      </w:r>
      <w:r>
        <w:rPr/>
        <w:t>s</w:t>
      </w:r>
      <w:r>
        <w:rPr/>
        <w:t> supporting literature, and develops recommendations for improving future comparative </w:t>
      </w:r>
      <w:r>
        <w:rPr/>
        <w:t>flood</w:t>
      </w:r>
      <w:r>
        <w:rPr>
          <w:spacing w:val="80"/>
        </w:rPr>
        <w:t> </w:t>
      </w:r>
      <w:r>
        <w:rPr>
          <w:spacing w:val="-2"/>
        </w:rPr>
        <w:t>assessments.</w:t>
      </w:r>
    </w:p>
    <w:p>
      <w:pPr>
        <w:pStyle w:val="BodyText"/>
        <w:spacing w:after="0" w:line="276" w:lineRule="auto"/>
        <w:sectPr>
          <w:pgSz w:w="12240" w:h="15840"/>
          <w:pgMar w:header="727" w:footer="0" w:top="1340" w:bottom="280" w:left="1440" w:right="720"/>
        </w:sectPr>
      </w:pPr>
    </w:p>
    <w:p>
      <w:pPr>
        <w:pStyle w:val="Heading1"/>
      </w:pPr>
      <w:r>
        <w:rPr/>
        <w:t>CHAPTER</w:t>
      </w:r>
      <w:r>
        <w:rPr>
          <w:spacing w:val="-11"/>
        </w:rPr>
        <w:t> </w:t>
      </w:r>
      <w:r>
        <w:rPr/>
        <w:t>2:</w:t>
      </w:r>
      <w:r>
        <w:rPr>
          <w:spacing w:val="-9"/>
        </w:rPr>
        <w:t> </w:t>
      </w:r>
      <w:r>
        <w:rPr/>
        <w:t>LITERATURE</w:t>
      </w:r>
      <w:r>
        <w:rPr>
          <w:spacing w:val="-9"/>
        </w:rPr>
        <w:t> </w:t>
      </w:r>
      <w:r>
        <w:rPr>
          <w:spacing w:val="-2"/>
        </w:rPr>
        <w:t>REVIEW</w:t>
      </w:r>
    </w:p>
    <w:p>
      <w:pPr>
        <w:pStyle w:val="Heading2"/>
        <w:numPr>
          <w:ilvl w:val="1"/>
          <w:numId w:val="2"/>
        </w:numPr>
        <w:tabs>
          <w:tab w:pos="419" w:val="left" w:leader="none"/>
        </w:tabs>
        <w:spacing w:line="240" w:lineRule="auto" w:before="175" w:after="0"/>
        <w:ind w:left="419" w:right="0" w:hanging="419"/>
        <w:jc w:val="left"/>
      </w:pPr>
      <w:r>
        <w:rPr/>
        <w:t>Literature</w:t>
      </w:r>
      <w:r>
        <w:rPr>
          <w:spacing w:val="-7"/>
        </w:rPr>
        <w:t> </w:t>
      </w:r>
      <w:r>
        <w:rPr>
          <w:spacing w:val="-2"/>
        </w:rPr>
        <w:t>Analysis</w:t>
      </w:r>
    </w:p>
    <w:p>
      <w:pPr>
        <w:pStyle w:val="BodyText"/>
        <w:spacing w:line="276" w:lineRule="auto" w:before="129"/>
        <w:ind w:right="730"/>
      </w:pPr>
      <w:r>
        <w:rPr/>
        <w:t>The literature review focuses on studies that use GIS, remote sensing, AHP or related multi-</w:t>
      </w:r>
      <w:r>
        <w:rPr/>
        <w:t>criteria</w:t>
      </w:r>
      <w:r>
        <w:rPr/>
        <w:t> methods for flood susceptibility, vulnerability and risk mapping. The selected papers </w:t>
      </w:r>
      <w:r>
        <w:rPr/>
        <w:t>provide</w:t>
      </w:r>
      <w:r>
        <w:rPr/>
        <w:t> methodological foundations for understanding the two supplied maps.</w:t>
      </w:r>
    </w:p>
    <w:p>
      <w:pPr>
        <w:pStyle w:val="BodyText"/>
        <w:spacing w:before="4" w:after="1"/>
        <w:jc w:val="left"/>
        <w:rPr>
          <w:sz w:val="16"/>
        </w:rPr>
      </w:pPr>
    </w:p>
    <w:tbl>
      <w:tblPr>
        <w:tblW w:w="0" w:type="auto"/>
        <w:jc w:val="left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0"/>
        <w:gridCol w:w="2115"/>
        <w:gridCol w:w="2565"/>
        <w:gridCol w:w="2280"/>
      </w:tblGrid>
      <w:tr>
        <w:trPr>
          <w:trHeight w:val="735" w:hRule="atLeast"/>
        </w:trPr>
        <w:tc>
          <w:tcPr>
            <w:tcW w:w="1920" w:type="dxa"/>
          </w:tcPr>
          <w:p>
            <w:pPr>
              <w:pStyle w:val="TableParagraph"/>
              <w:spacing w:before="11"/>
              <w:rPr>
                <w:b/>
                <w:sz w:val="22"/>
              </w:rPr>
            </w:pPr>
            <w:r>
              <w:rPr>
                <w:b/>
                <w:sz w:val="22"/>
              </w:rPr>
              <w:t>Paper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Study</w:t>
            </w:r>
          </w:p>
        </w:tc>
        <w:tc>
          <w:tcPr>
            <w:tcW w:w="2115" w:type="dxa"/>
          </w:tcPr>
          <w:p>
            <w:pPr>
              <w:pStyle w:val="TableParagraph"/>
              <w:spacing w:before="1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Method</w:t>
            </w:r>
          </w:p>
        </w:tc>
        <w:tc>
          <w:tcPr>
            <w:tcW w:w="2565" w:type="dxa"/>
          </w:tcPr>
          <w:p>
            <w:pPr>
              <w:pStyle w:val="TableParagraph"/>
              <w:spacing w:before="11"/>
              <w:rPr>
                <w:b/>
                <w:sz w:val="22"/>
              </w:rPr>
            </w:pPr>
            <w:r>
              <w:rPr>
                <w:b/>
                <w:sz w:val="22"/>
              </w:rPr>
              <w:t>Main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contribution</w:t>
            </w:r>
          </w:p>
        </w:tc>
        <w:tc>
          <w:tcPr>
            <w:tcW w:w="2280" w:type="dxa"/>
          </w:tcPr>
          <w:p>
            <w:pPr>
              <w:pStyle w:val="TableParagraph"/>
              <w:spacing w:before="11"/>
              <w:ind w:right="96" w:hanging="1"/>
              <w:rPr>
                <w:b/>
                <w:sz w:val="22"/>
              </w:rPr>
            </w:pPr>
            <w:r>
              <w:rPr>
                <w:b/>
                <w:sz w:val="22"/>
              </w:rPr>
              <w:t>Gap</w:t>
            </w:r>
            <w:r>
              <w:rPr>
                <w:b/>
                <w:spacing w:val="40"/>
                <w:sz w:val="22"/>
              </w:rPr>
              <w:t> </w:t>
            </w:r>
            <w:r>
              <w:rPr>
                <w:b/>
                <w:sz w:val="22"/>
              </w:rPr>
              <w:t>relevant</w:t>
            </w:r>
            <w:r>
              <w:rPr>
                <w:b/>
                <w:spacing w:val="40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40"/>
                <w:sz w:val="22"/>
              </w:rPr>
              <w:t> </w:t>
            </w:r>
            <w:r>
              <w:rPr>
                <w:b/>
                <w:sz w:val="22"/>
              </w:rPr>
              <w:t>thi</w:t>
            </w:r>
            <w:r>
              <w:rPr>
                <w:b/>
                <w:sz w:val="22"/>
              </w:rPr>
              <w:t>s</w:t>
            </w:r>
            <w:r>
              <w:rPr>
                <w:b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project</w:t>
            </w:r>
          </w:p>
        </w:tc>
      </w:tr>
      <w:tr>
        <w:trPr>
          <w:trHeight w:val="2280" w:hRule="atLeast"/>
        </w:trPr>
        <w:tc>
          <w:tcPr>
            <w:tcW w:w="1920" w:type="dxa"/>
          </w:tcPr>
          <w:p>
            <w:pPr>
              <w:pStyle w:val="TableParagraph"/>
              <w:tabs>
                <w:tab w:pos="1034" w:val="left" w:leader="none"/>
                <w:tab w:pos="1593" w:val="left" w:leader="none"/>
              </w:tabs>
              <w:spacing w:before="11"/>
              <w:rPr>
                <w:sz w:val="22"/>
              </w:rPr>
            </w:pPr>
            <w:r>
              <w:rPr>
                <w:spacing w:val="-2"/>
                <w:sz w:val="22"/>
              </w:rPr>
              <w:t>Borah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et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al.</w:t>
            </w:r>
          </w:p>
          <w:p>
            <w:pPr>
              <w:pStyle w:val="TableParagraph"/>
              <w:tabs>
                <w:tab w:pos="1123" w:val="left" w:leader="none"/>
              </w:tabs>
              <w:ind w:right="110"/>
              <w:rPr>
                <w:sz w:val="22"/>
              </w:rPr>
            </w:pPr>
            <w:r>
              <w:rPr>
                <w:spacing w:val="-2"/>
                <w:sz w:val="22"/>
              </w:rPr>
              <w:t>(2025),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Cachar</w:t>
            </w:r>
            <w:r>
              <w:rPr>
                <w:spacing w:val="-4"/>
                <w:sz w:val="22"/>
              </w:rPr>
              <w:t>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Assam</w:t>
            </w:r>
          </w:p>
        </w:tc>
        <w:tc>
          <w:tcPr>
            <w:tcW w:w="2115" w:type="dxa"/>
          </w:tcPr>
          <w:p>
            <w:pPr>
              <w:pStyle w:val="TableParagraph"/>
              <w:tabs>
                <w:tab w:pos="746" w:val="left" w:leader="none"/>
                <w:tab w:pos="1150" w:val="left" w:leader="none"/>
                <w:tab w:pos="1870" w:val="left" w:leader="none"/>
              </w:tabs>
              <w:spacing w:before="11"/>
              <w:rPr>
                <w:sz w:val="22"/>
              </w:rPr>
            </w:pPr>
            <w:r>
              <w:rPr>
                <w:spacing w:val="-5"/>
                <w:sz w:val="22"/>
              </w:rPr>
              <w:t>GIS</w:t>
            </w:r>
            <w:r>
              <w:rPr>
                <w:sz w:val="22"/>
              </w:rPr>
              <w:tab/>
            </w:r>
            <w:r>
              <w:rPr>
                <w:spacing w:val="-10"/>
                <w:sz w:val="22"/>
              </w:rPr>
              <w:t>+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AHP</w:t>
            </w:r>
            <w:r>
              <w:rPr>
                <w:sz w:val="22"/>
              </w:rPr>
              <w:tab/>
            </w:r>
            <w:r>
              <w:rPr>
                <w:spacing w:val="-10"/>
                <w:sz w:val="22"/>
              </w:rPr>
              <w:t>+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MCDM;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10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factors</w:t>
            </w:r>
          </w:p>
        </w:tc>
        <w:tc>
          <w:tcPr>
            <w:tcW w:w="2565" w:type="dxa"/>
          </w:tcPr>
          <w:p>
            <w:pPr>
              <w:pStyle w:val="TableParagraph"/>
              <w:tabs>
                <w:tab w:pos="1314" w:val="left" w:leader="none"/>
                <w:tab w:pos="1967" w:val="left" w:leader="none"/>
              </w:tabs>
              <w:spacing w:before="11"/>
              <w:ind w:right="99"/>
              <w:jc w:val="both"/>
              <w:rPr>
                <w:sz w:val="22"/>
              </w:rPr>
            </w:pPr>
            <w:r>
              <w:rPr>
                <w:sz w:val="22"/>
              </w:rPr>
              <w:t>Five flood-</w:t>
            </w:r>
            <w:r>
              <w:rPr>
                <w:sz w:val="22"/>
              </w:rPr>
              <w:t>susceptibilit</w:t>
            </w:r>
            <w:r>
              <w:rPr>
                <w:sz w:val="22"/>
              </w:rPr>
              <w:t>y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zones;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vulnerability</w:t>
            </w:r>
            <w:r>
              <w:rPr>
                <w:spacing w:val="-2"/>
                <w:sz w:val="22"/>
              </w:rPr>
              <w:t> examined</w:t>
            </w:r>
            <w:r>
              <w:rPr>
                <w:sz w:val="22"/>
              </w:rPr>
              <w:tab/>
              <w:tab/>
            </w:r>
            <w:r>
              <w:rPr>
                <w:spacing w:val="-2"/>
                <w:sz w:val="22"/>
              </w:rPr>
              <w:t>usin</w:t>
            </w:r>
            <w:r>
              <w:rPr>
                <w:spacing w:val="-2"/>
                <w:sz w:val="22"/>
              </w:rPr>
              <w:t>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population density</w:t>
            </w:r>
          </w:p>
        </w:tc>
        <w:tc>
          <w:tcPr>
            <w:tcW w:w="2280" w:type="dxa"/>
          </w:tcPr>
          <w:p>
            <w:pPr>
              <w:pStyle w:val="TableParagraph"/>
              <w:tabs>
                <w:tab w:pos="1572" w:val="left" w:leader="none"/>
                <w:tab w:pos="1949" w:val="left" w:leader="none"/>
              </w:tabs>
              <w:spacing w:before="11"/>
              <w:ind w:right="95"/>
              <w:jc w:val="both"/>
              <w:rPr>
                <w:sz w:val="22"/>
              </w:rPr>
            </w:pPr>
            <w:r>
              <w:rPr>
                <w:sz w:val="22"/>
              </w:rPr>
              <w:t>A district-</w:t>
            </w:r>
            <w:r>
              <w:rPr>
                <w:sz w:val="22"/>
              </w:rPr>
              <w:t>specific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model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cannot</w:t>
            </w:r>
            <w:r>
              <w:rPr>
                <w:spacing w:val="-2"/>
                <w:sz w:val="22"/>
              </w:rPr>
              <w:t> automatically</w:t>
            </w:r>
            <w:r>
              <w:rPr>
                <w:sz w:val="22"/>
              </w:rPr>
              <w:tab/>
              <w:tab/>
            </w:r>
            <w:r>
              <w:rPr>
                <w:spacing w:val="-6"/>
                <w:sz w:val="22"/>
              </w:rPr>
              <w:t>be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compared </w:t>
            </w:r>
            <w:r>
              <w:rPr>
                <w:sz w:val="22"/>
              </w:rPr>
              <w:t>numerically</w:t>
            </w:r>
            <w:r>
              <w:rPr>
                <w:sz w:val="22"/>
              </w:rPr>
              <w:t> with another </w:t>
            </w:r>
            <w:r>
              <w:rPr>
                <w:sz w:val="22"/>
              </w:rPr>
              <w:t>district</w:t>
            </w:r>
            <w:r>
              <w:rPr>
                <w:sz w:val="22"/>
              </w:rPr>
              <w:t> model unless </w:t>
            </w:r>
            <w:r>
              <w:rPr>
                <w:sz w:val="22"/>
              </w:rPr>
              <w:t>inputs</w:t>
            </w:r>
            <w:r>
              <w:rPr>
                <w:sz w:val="22"/>
              </w:rPr>
              <w:t> and weights </w:t>
            </w:r>
            <w:r>
              <w:rPr>
                <w:sz w:val="22"/>
              </w:rPr>
              <w:t>ar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harmonized.</w:t>
            </w:r>
          </w:p>
        </w:tc>
      </w:tr>
      <w:tr>
        <w:trPr>
          <w:trHeight w:val="1755" w:hRule="atLeast"/>
        </w:trPr>
        <w:tc>
          <w:tcPr>
            <w:tcW w:w="1920" w:type="dxa"/>
          </w:tcPr>
          <w:p>
            <w:pPr>
              <w:pStyle w:val="TableParagraph"/>
              <w:spacing w:before="11"/>
              <w:ind w:right="101"/>
              <w:jc w:val="both"/>
              <w:rPr>
                <w:sz w:val="22"/>
              </w:rPr>
            </w:pPr>
            <w:r>
              <w:rPr>
                <w:sz w:val="22"/>
              </w:rPr>
              <w:t>Assam </w:t>
            </w:r>
            <w:r>
              <w:rPr>
                <w:sz w:val="22"/>
              </w:rPr>
              <w:t>regiona</w:t>
            </w:r>
            <w:r>
              <w:rPr>
                <w:sz w:val="22"/>
              </w:rPr>
              <w:t>l</w:t>
            </w:r>
            <w:r>
              <w:rPr>
                <w:sz w:val="22"/>
              </w:rPr>
              <w:t> flood-risk stud</w:t>
            </w:r>
            <w:r>
              <w:rPr>
                <w:sz w:val="22"/>
              </w:rPr>
              <w:t>y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(2022)</w:t>
            </w:r>
          </w:p>
        </w:tc>
        <w:tc>
          <w:tcPr>
            <w:tcW w:w="2115" w:type="dxa"/>
          </w:tcPr>
          <w:p>
            <w:pPr>
              <w:pStyle w:val="TableParagraph"/>
              <w:spacing w:before="11"/>
              <w:rPr>
                <w:sz w:val="22"/>
              </w:rPr>
            </w:pPr>
            <w:r>
              <w:rPr>
                <w:sz w:val="22"/>
              </w:rPr>
              <w:t>MCDA-</w:t>
            </w:r>
            <w:r>
              <w:rPr>
                <w:spacing w:val="-4"/>
                <w:sz w:val="22"/>
              </w:rPr>
              <w:t>AHP;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hazard,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vulnerabilit</w:t>
            </w:r>
            <w:r>
              <w:rPr>
                <w:sz w:val="22"/>
              </w:rPr>
              <w:t>y</w:t>
            </w:r>
            <w:r>
              <w:rPr>
                <w:sz w:val="22"/>
              </w:rPr>
              <w:t> and risk indices</w:t>
            </w:r>
          </w:p>
        </w:tc>
        <w:tc>
          <w:tcPr>
            <w:tcW w:w="2565" w:type="dxa"/>
          </w:tcPr>
          <w:p>
            <w:pPr>
              <w:pStyle w:val="TableParagraph"/>
              <w:tabs>
                <w:tab w:pos="2279" w:val="left" w:leader="none"/>
              </w:tabs>
              <w:spacing w:before="11"/>
              <w:ind w:right="101"/>
              <w:rPr>
                <w:sz w:val="22"/>
              </w:rPr>
            </w:pPr>
            <w:r>
              <w:rPr>
                <w:sz w:val="22"/>
              </w:rPr>
              <w:t>Developed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FHI,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FVI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z w:val="22"/>
              </w:rPr>
              <w:t>d</w:t>
            </w:r>
            <w:r>
              <w:rPr>
                <w:sz w:val="22"/>
              </w:rPr>
              <w:t> </w:t>
            </w:r>
            <w:r>
              <w:rPr>
                <w:spacing w:val="-5"/>
                <w:sz w:val="22"/>
              </w:rPr>
              <w:t>FRI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at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regional/administrative</w:t>
            </w:r>
            <w:r>
              <w:rPr>
                <w:spacing w:val="-2"/>
                <w:sz w:val="22"/>
              </w:rPr>
              <w:t> levels</w:t>
            </w:r>
          </w:p>
        </w:tc>
        <w:tc>
          <w:tcPr>
            <w:tcW w:w="2280" w:type="dxa"/>
          </w:tcPr>
          <w:p>
            <w:pPr>
              <w:pStyle w:val="TableParagraph"/>
              <w:tabs>
                <w:tab w:pos="1531" w:val="left" w:leader="none"/>
                <w:tab w:pos="1848" w:val="left" w:leader="none"/>
              </w:tabs>
              <w:spacing w:before="11"/>
              <w:ind w:right="96"/>
              <w:jc w:val="both"/>
              <w:rPr>
                <w:sz w:val="22"/>
              </w:rPr>
            </w:pPr>
            <w:r>
              <w:rPr>
                <w:spacing w:val="-2"/>
                <w:sz w:val="22"/>
              </w:rPr>
              <w:t>Regional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indices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depend on </w:t>
            </w:r>
            <w:r>
              <w:rPr>
                <w:sz w:val="22"/>
              </w:rPr>
              <w:t>indicator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selection</w:t>
            </w:r>
            <w:r>
              <w:rPr>
                <w:sz w:val="22"/>
              </w:rPr>
              <w:tab/>
              <w:tab/>
            </w:r>
            <w:r>
              <w:rPr>
                <w:spacing w:val="-5"/>
                <w:sz w:val="22"/>
              </w:rPr>
              <w:t>and</w:t>
            </w:r>
          </w:p>
          <w:p>
            <w:pPr>
              <w:pStyle w:val="TableParagraph"/>
              <w:tabs>
                <w:tab w:pos="1662" w:val="left" w:leader="none"/>
              </w:tabs>
              <w:ind w:right="99"/>
              <w:jc w:val="both"/>
              <w:rPr>
                <w:sz w:val="22"/>
              </w:rPr>
            </w:pPr>
            <w:r>
              <w:rPr>
                <w:spacing w:val="-2"/>
                <w:sz w:val="22"/>
              </w:rPr>
              <w:t>weighting;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direc</w:t>
            </w:r>
            <w:r>
              <w:rPr>
                <w:spacing w:val="-2"/>
                <w:sz w:val="22"/>
              </w:rPr>
              <w:t>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transfer to Hardoi i</w:t>
            </w:r>
            <w:r>
              <w:rPr>
                <w:sz w:val="22"/>
              </w:rPr>
              <w:t>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not justified.</w:t>
            </w:r>
          </w:p>
        </w:tc>
      </w:tr>
      <w:tr>
        <w:trPr>
          <w:trHeight w:val="1455" w:hRule="atLeast"/>
        </w:trPr>
        <w:tc>
          <w:tcPr>
            <w:tcW w:w="1920" w:type="dxa"/>
          </w:tcPr>
          <w:p>
            <w:pPr>
              <w:pStyle w:val="TableParagraph"/>
              <w:tabs>
                <w:tab w:pos="1133" w:val="left" w:leader="none"/>
              </w:tabs>
              <w:spacing w:before="11"/>
              <w:ind w:right="109"/>
              <w:rPr>
                <w:sz w:val="22"/>
              </w:rPr>
            </w:pPr>
            <w:r>
              <w:rPr>
                <w:spacing w:val="-2"/>
                <w:sz w:val="22"/>
              </w:rPr>
              <w:t>Krishna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Distric</w:t>
            </w:r>
            <w:r>
              <w:rPr>
                <w:spacing w:val="-2"/>
                <w:sz w:val="22"/>
              </w:rPr>
              <w:t>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study (2022)</w:t>
            </w:r>
          </w:p>
        </w:tc>
        <w:tc>
          <w:tcPr>
            <w:tcW w:w="2115" w:type="dxa"/>
          </w:tcPr>
          <w:p>
            <w:pPr>
              <w:pStyle w:val="TableParagraph"/>
              <w:spacing w:before="11"/>
              <w:rPr>
                <w:sz w:val="22"/>
              </w:rPr>
            </w:pPr>
            <w:r>
              <w:rPr>
                <w:sz w:val="22"/>
              </w:rPr>
              <w:t>RS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GIS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AHP;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11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factors</w:t>
            </w:r>
          </w:p>
        </w:tc>
        <w:tc>
          <w:tcPr>
            <w:tcW w:w="2565" w:type="dxa"/>
          </w:tcPr>
          <w:p>
            <w:pPr>
              <w:pStyle w:val="TableParagraph"/>
              <w:tabs>
                <w:tab w:pos="1069" w:val="left" w:leader="none"/>
                <w:tab w:pos="1808" w:val="left" w:leader="none"/>
              </w:tabs>
              <w:spacing w:before="11"/>
              <w:ind w:right="98"/>
              <w:jc w:val="both"/>
              <w:rPr>
                <w:sz w:val="22"/>
              </w:rPr>
            </w:pPr>
            <w:r>
              <w:rPr>
                <w:spacing w:val="-2"/>
                <w:sz w:val="22"/>
              </w:rPr>
              <w:t>Integrated</w:t>
            </w:r>
            <w:r>
              <w:rPr>
                <w:sz w:val="22"/>
              </w:rPr>
              <w:tab/>
              <w:tab/>
            </w:r>
            <w:r>
              <w:rPr>
                <w:spacing w:val="-2"/>
                <w:sz w:val="22"/>
              </w:rPr>
              <w:t>terrain,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drainage, rainfall, </w:t>
            </w:r>
            <w:r>
              <w:rPr>
                <w:sz w:val="22"/>
              </w:rPr>
              <w:t>LUL</w:t>
            </w:r>
            <w:r>
              <w:rPr>
                <w:sz w:val="22"/>
              </w:rPr>
              <w:t>C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and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stream-distanc</w:t>
            </w:r>
            <w:r>
              <w:rPr>
                <w:spacing w:val="-2"/>
                <w:sz w:val="22"/>
              </w:rPr>
              <w:t>e</w:t>
            </w:r>
            <w:r>
              <w:rPr>
                <w:spacing w:val="-2"/>
                <w:sz w:val="22"/>
              </w:rPr>
              <w:t> variables</w:t>
            </w:r>
          </w:p>
        </w:tc>
        <w:tc>
          <w:tcPr>
            <w:tcW w:w="2280" w:type="dxa"/>
          </w:tcPr>
          <w:p>
            <w:pPr>
              <w:pStyle w:val="TableParagraph"/>
              <w:tabs>
                <w:tab w:pos="737" w:val="left" w:leader="none"/>
                <w:tab w:pos="1935" w:val="left" w:leader="none"/>
              </w:tabs>
              <w:spacing w:before="11"/>
              <w:ind w:right="96"/>
              <w:rPr>
                <w:sz w:val="22"/>
              </w:rPr>
            </w:pPr>
            <w:r>
              <w:rPr>
                <w:sz w:val="22"/>
              </w:rPr>
              <w:t>AHP is transparent </w:t>
            </w:r>
            <w:r>
              <w:rPr>
                <w:sz w:val="22"/>
              </w:rPr>
              <w:t>bu</w:t>
            </w:r>
            <w:r>
              <w:rPr>
                <w:sz w:val="22"/>
              </w:rPr>
              <w:t>t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still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dependent</w:t>
            </w:r>
            <w:r>
              <w:rPr>
                <w:sz w:val="22"/>
              </w:rPr>
              <w:tab/>
            </w:r>
            <w:r>
              <w:rPr>
                <w:spacing w:val="-6"/>
                <w:sz w:val="22"/>
              </w:rPr>
              <w:t>on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expert/literature-</w:t>
            </w:r>
            <w:r>
              <w:rPr>
                <w:spacing w:val="-2"/>
                <w:sz w:val="22"/>
              </w:rPr>
              <w:t>based</w:t>
            </w:r>
            <w:r>
              <w:rPr>
                <w:spacing w:val="-2"/>
                <w:sz w:val="22"/>
              </w:rPr>
              <w:t> weights.</w:t>
            </w:r>
          </w:p>
        </w:tc>
      </w:tr>
      <w:tr>
        <w:trPr>
          <w:trHeight w:val="1815" w:hRule="atLeast"/>
        </w:trPr>
        <w:tc>
          <w:tcPr>
            <w:tcW w:w="1920" w:type="dxa"/>
          </w:tcPr>
          <w:p>
            <w:pPr>
              <w:pStyle w:val="TableParagraph"/>
              <w:tabs>
                <w:tab w:pos="1146" w:val="left" w:leader="none"/>
              </w:tabs>
              <w:spacing w:before="11"/>
              <w:ind w:right="96"/>
              <w:rPr>
                <w:sz w:val="22"/>
              </w:rPr>
            </w:pPr>
            <w:r>
              <w:rPr>
                <w:spacing w:val="-2"/>
                <w:sz w:val="22"/>
              </w:rPr>
              <w:t>Idukki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Distric</w:t>
            </w:r>
            <w:r>
              <w:rPr>
                <w:spacing w:val="-2"/>
                <w:sz w:val="22"/>
              </w:rPr>
              <w:t>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study (2023)</w:t>
            </w:r>
          </w:p>
        </w:tc>
        <w:tc>
          <w:tcPr>
            <w:tcW w:w="2115" w:type="dxa"/>
          </w:tcPr>
          <w:p>
            <w:pPr>
              <w:pStyle w:val="TableParagraph"/>
              <w:tabs>
                <w:tab w:pos="967" w:val="left" w:leader="none"/>
                <w:tab w:pos="1773" w:val="left" w:leader="none"/>
              </w:tabs>
              <w:spacing w:before="11"/>
              <w:ind w:right="104"/>
              <w:rPr>
                <w:sz w:val="22"/>
              </w:rPr>
            </w:pPr>
            <w:r>
              <w:rPr>
                <w:spacing w:val="-4"/>
                <w:sz w:val="22"/>
              </w:rPr>
              <w:t>AHP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with</w:t>
            </w:r>
            <w:r>
              <w:rPr>
                <w:sz w:val="22"/>
              </w:rPr>
              <w:tab/>
            </w:r>
            <w:r>
              <w:rPr>
                <w:spacing w:val="-6"/>
                <w:sz w:val="22"/>
              </w:rPr>
              <w:t>1</w:t>
            </w:r>
            <w:r>
              <w:rPr>
                <w:spacing w:val="-6"/>
                <w:sz w:val="22"/>
              </w:rPr>
              <w:t>2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flood-</w:t>
            </w:r>
            <w:r>
              <w:rPr>
                <w:spacing w:val="-2"/>
                <w:sz w:val="22"/>
              </w:rPr>
              <w:t>contributing</w:t>
            </w:r>
            <w:r>
              <w:rPr>
                <w:spacing w:val="-2"/>
                <w:sz w:val="22"/>
              </w:rPr>
              <w:t> parameters;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AUC-</w:t>
            </w:r>
            <w:r>
              <w:rPr>
                <w:spacing w:val="-5"/>
                <w:sz w:val="22"/>
              </w:rPr>
              <w:t>ROC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validation</w:t>
            </w:r>
          </w:p>
        </w:tc>
        <w:tc>
          <w:tcPr>
            <w:tcW w:w="2565" w:type="dxa"/>
          </w:tcPr>
          <w:p>
            <w:pPr>
              <w:pStyle w:val="TableParagraph"/>
              <w:tabs>
                <w:tab w:pos="1142" w:val="left" w:leader="none"/>
                <w:tab w:pos="2120" w:val="left" w:leader="none"/>
              </w:tabs>
              <w:spacing w:before="11"/>
              <w:ind w:right="98"/>
              <w:rPr>
                <w:sz w:val="22"/>
              </w:rPr>
            </w:pPr>
            <w:r>
              <w:rPr>
                <w:spacing w:val="-2"/>
                <w:sz w:val="22"/>
              </w:rPr>
              <w:t>Mapped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high/very-</w:t>
            </w:r>
            <w:r>
              <w:rPr>
                <w:spacing w:val="-2"/>
                <w:sz w:val="22"/>
              </w:rPr>
              <w:t>hig</w:t>
            </w:r>
            <w:r>
              <w:rPr>
                <w:spacing w:val="-2"/>
                <w:sz w:val="22"/>
              </w:rPr>
              <w:t>h</w:t>
            </w:r>
            <w:r>
              <w:rPr>
                <w:spacing w:val="-2"/>
                <w:sz w:val="22"/>
              </w:rPr>
              <w:t> susceptibility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and</w:t>
            </w:r>
          </w:p>
          <w:p>
            <w:pPr>
              <w:pStyle w:val="TableParagraph"/>
              <w:tabs>
                <w:tab w:pos="1963" w:val="left" w:leader="none"/>
              </w:tabs>
              <w:ind w:right="108"/>
              <w:rPr>
                <w:sz w:val="22"/>
              </w:rPr>
            </w:pPr>
            <w:r>
              <w:rPr>
                <w:spacing w:val="-2"/>
                <w:sz w:val="22"/>
              </w:rPr>
              <w:t>validated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usin</w:t>
            </w:r>
            <w:r>
              <w:rPr>
                <w:spacing w:val="-2"/>
                <w:sz w:val="22"/>
              </w:rPr>
              <w:t>g</w:t>
            </w:r>
            <w:r>
              <w:rPr>
                <w:spacing w:val="-2"/>
                <w:sz w:val="22"/>
              </w:rPr>
              <w:t> ROC-AUC</w:t>
            </w:r>
          </w:p>
        </w:tc>
        <w:tc>
          <w:tcPr>
            <w:tcW w:w="2280" w:type="dxa"/>
          </w:tcPr>
          <w:p>
            <w:pPr>
              <w:pStyle w:val="TableParagraph"/>
              <w:spacing w:before="11"/>
              <w:ind w:right="96"/>
              <w:jc w:val="both"/>
              <w:rPr>
                <w:sz w:val="22"/>
              </w:rPr>
            </w:pPr>
            <w:r>
              <w:rPr>
                <w:sz w:val="22"/>
              </w:rPr>
              <w:t>Validation requires </w:t>
            </w:r>
            <w:r>
              <w:rPr>
                <w:sz w:val="22"/>
              </w:rPr>
              <w:t>a</w:t>
            </w:r>
            <w:r>
              <w:rPr>
                <w:sz w:val="22"/>
              </w:rPr>
              <w:t>n</w:t>
            </w:r>
            <w:r>
              <w:rPr>
                <w:sz w:val="22"/>
              </w:rPr>
              <w:t> independent </w:t>
            </w:r>
            <w:r>
              <w:rPr>
                <w:sz w:val="22"/>
              </w:rPr>
              <w:t>flood</w:t>
            </w:r>
            <w:r>
              <w:rPr>
                <w:sz w:val="22"/>
              </w:rPr>
              <w:t> inventory; map </w:t>
            </w:r>
            <w:r>
              <w:rPr>
                <w:sz w:val="22"/>
              </w:rPr>
              <w:t>images</w:t>
            </w:r>
            <w:r>
              <w:rPr>
                <w:sz w:val="22"/>
              </w:rPr>
              <w:t> alone do not provid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this.</w:t>
            </w:r>
          </w:p>
        </w:tc>
      </w:tr>
      <w:tr>
        <w:trPr>
          <w:trHeight w:val="1755" w:hRule="atLeast"/>
        </w:trPr>
        <w:tc>
          <w:tcPr>
            <w:tcW w:w="1920" w:type="dxa"/>
          </w:tcPr>
          <w:p>
            <w:pPr>
              <w:pStyle w:val="TableParagraph"/>
              <w:spacing w:before="11"/>
              <w:rPr>
                <w:sz w:val="22"/>
              </w:rPr>
            </w:pPr>
            <w:r>
              <w:rPr>
                <w:sz w:val="22"/>
              </w:rPr>
              <w:t>Savitri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Basin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stud</w:t>
            </w:r>
            <w:r>
              <w:rPr>
                <w:sz w:val="22"/>
              </w:rPr>
              <w:t>y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(2026)</w:t>
            </w:r>
          </w:p>
        </w:tc>
        <w:tc>
          <w:tcPr>
            <w:tcW w:w="2115" w:type="dxa"/>
          </w:tcPr>
          <w:p>
            <w:pPr>
              <w:pStyle w:val="TableParagraph"/>
              <w:tabs>
                <w:tab w:pos="1184" w:val="left" w:leader="none"/>
                <w:tab w:pos="1780" w:val="left" w:leader="none"/>
              </w:tabs>
              <w:spacing w:before="11"/>
              <w:ind w:right="97"/>
              <w:rPr>
                <w:sz w:val="22"/>
              </w:rPr>
            </w:pPr>
            <w:r>
              <w:rPr>
                <w:spacing w:val="-2"/>
                <w:sz w:val="22"/>
              </w:rPr>
              <w:t>GIS-AHP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with</w:t>
            </w:r>
            <w:r>
              <w:rPr>
                <w:sz w:val="22"/>
              </w:rPr>
              <w:tab/>
            </w:r>
            <w:r>
              <w:rPr>
                <w:spacing w:val="-6"/>
                <w:sz w:val="22"/>
              </w:rPr>
              <w:t>1</w:t>
            </w:r>
            <w:r>
              <w:rPr>
                <w:spacing w:val="-6"/>
                <w:sz w:val="22"/>
              </w:rPr>
              <w:t>0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factors</w:t>
            </w:r>
          </w:p>
        </w:tc>
        <w:tc>
          <w:tcPr>
            <w:tcW w:w="2565" w:type="dxa"/>
          </w:tcPr>
          <w:p>
            <w:pPr>
              <w:pStyle w:val="TableParagraph"/>
              <w:tabs>
                <w:tab w:pos="1271" w:val="left" w:leader="none"/>
                <w:tab w:pos="1583" w:val="left" w:leader="none"/>
              </w:tabs>
              <w:spacing w:before="11"/>
              <w:ind w:right="103"/>
              <w:jc w:val="both"/>
              <w:rPr>
                <w:sz w:val="22"/>
              </w:rPr>
            </w:pPr>
            <w:r>
              <w:rPr>
                <w:spacing w:val="-2"/>
                <w:sz w:val="22"/>
              </w:rPr>
              <w:t>Integrated</w:t>
            </w:r>
            <w:r>
              <w:rPr>
                <w:sz w:val="22"/>
              </w:rPr>
              <w:tab/>
              <w:tab/>
            </w:r>
            <w:r>
              <w:rPr>
                <w:spacing w:val="-2"/>
                <w:sz w:val="22"/>
              </w:rPr>
              <w:t>elevation</w:t>
            </w:r>
            <w:r>
              <w:rPr>
                <w:spacing w:val="-2"/>
                <w:sz w:val="22"/>
              </w:rPr>
              <w:t>,</w:t>
            </w:r>
            <w:r>
              <w:rPr>
                <w:spacing w:val="-2"/>
                <w:sz w:val="22"/>
              </w:rPr>
              <w:t> slope,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precipitation</w:t>
            </w:r>
            <w:r>
              <w:rPr>
                <w:spacing w:val="-2"/>
                <w:sz w:val="22"/>
              </w:rPr>
              <w:t>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drainage density, TWI</w:t>
            </w:r>
            <w:r>
              <w:rPr>
                <w:sz w:val="22"/>
              </w:rPr>
              <w:t>,</w:t>
            </w:r>
            <w:r>
              <w:rPr>
                <w:sz w:val="22"/>
              </w:rPr>
              <w:t> LULC, soil and othe</w:t>
            </w:r>
            <w:r>
              <w:rPr>
                <w:sz w:val="22"/>
              </w:rPr>
              <w:t>r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variables</w:t>
            </w:r>
          </w:p>
        </w:tc>
        <w:tc>
          <w:tcPr>
            <w:tcW w:w="2280" w:type="dxa"/>
          </w:tcPr>
          <w:p>
            <w:pPr>
              <w:pStyle w:val="TableParagraph"/>
              <w:tabs>
                <w:tab w:pos="1400" w:val="left" w:leader="none"/>
                <w:tab w:pos="1775" w:val="left" w:leader="none"/>
              </w:tabs>
              <w:spacing w:before="11"/>
              <w:ind w:right="102"/>
              <w:jc w:val="both"/>
              <w:rPr>
                <w:sz w:val="22"/>
              </w:rPr>
            </w:pPr>
            <w:r>
              <w:rPr>
                <w:spacing w:val="-2"/>
                <w:sz w:val="22"/>
              </w:rPr>
              <w:t>Authors</w:t>
            </w:r>
            <w:r>
              <w:rPr>
                <w:sz w:val="22"/>
              </w:rPr>
              <w:tab/>
              <w:tab/>
            </w:r>
            <w:r>
              <w:rPr>
                <w:spacing w:val="-4"/>
                <w:sz w:val="22"/>
              </w:rPr>
              <w:t>not</w:t>
            </w:r>
            <w:r>
              <w:rPr>
                <w:spacing w:val="-4"/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limitations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exper</w:t>
            </w:r>
            <w:r>
              <w:rPr>
                <w:sz w:val="22"/>
              </w:rPr>
              <w:t>t</w:t>
            </w:r>
            <w:r>
              <w:rPr>
                <w:sz w:val="22"/>
              </w:rPr>
              <w:t> weighting and absenc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 </w:t>
            </w:r>
            <w:r>
              <w:rPr>
                <w:spacing w:val="-5"/>
                <w:sz w:val="22"/>
              </w:rPr>
              <w:t>of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dynamic</w:t>
            </w:r>
          </w:p>
          <w:p>
            <w:pPr>
              <w:pStyle w:val="TableParagraph"/>
              <w:ind w:right="96"/>
              <w:rPr>
                <w:sz w:val="22"/>
              </w:rPr>
            </w:pPr>
            <w:r>
              <w:rPr>
                <w:spacing w:val="-2"/>
                <w:sz w:val="22"/>
              </w:rPr>
              <w:t>hydrodynamic</w:t>
            </w:r>
            <w:r>
              <w:rPr>
                <w:spacing w:val="-2"/>
                <w:sz w:val="22"/>
              </w:rPr>
              <w:t> modelling.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header="727" w:footer="0" w:top="1340" w:bottom="280" w:left="1440" w:right="720"/>
        </w:sectPr>
      </w:pPr>
    </w:p>
    <w:p>
      <w:pPr>
        <w:pStyle w:val="Heading4"/>
        <w:numPr>
          <w:ilvl w:val="2"/>
          <w:numId w:val="2"/>
        </w:numPr>
        <w:tabs>
          <w:tab w:pos="540" w:val="left" w:leader="none"/>
        </w:tabs>
        <w:spacing w:line="240" w:lineRule="auto" w:before="80" w:after="0"/>
        <w:ind w:left="540" w:right="0" w:hanging="540"/>
        <w:jc w:val="both"/>
      </w:pPr>
      <w:r>
        <w:rPr/>
        <w:t>Study 1: Cachar District, </w:t>
      </w:r>
      <w:r>
        <w:rPr>
          <w:spacing w:val="-2"/>
        </w:rPr>
        <w:t>Assam</w:t>
      </w:r>
    </w:p>
    <w:p>
      <w:pPr>
        <w:pStyle w:val="BodyText"/>
        <w:spacing w:line="276" w:lineRule="auto" w:before="42"/>
        <w:ind w:right="718"/>
      </w:pPr>
      <w:r>
        <w:rPr/>
        <w:t>Borah, Handique, Dutta, Bori, Acharjee and Longkumer (2025) assessed flood susceptibility in </w:t>
      </w:r>
      <w:r>
        <w:rPr/>
        <w:t>Cachar</w:t>
      </w:r>
      <w:r>
        <w:rPr/>
        <w:t> District using GIS-based multi-criteria decision-making and AHP. The study selected ten </w:t>
      </w:r>
      <w:r>
        <w:rPr/>
        <w:t>contributing</w:t>
      </w:r>
      <w:r>
        <w:rPr/>
        <w:t> factors: elevation, slope, precipitation, LULC, NDVI, TWI, distance from road, distance from river</w:t>
      </w:r>
      <w:r>
        <w:rPr/>
        <w:t>,</w:t>
      </w:r>
      <w:r>
        <w:rPr/>
        <w:t> drainage density and population density. Five susceptibility classes were produced. The published </w:t>
      </w:r>
      <w:r>
        <w:rPr/>
        <w:t>study</w:t>
      </w:r>
      <w:r>
        <w:rPr/>
        <w:t> reports 31.24% Very Low, 35.73% Low, 19.74% Moderate, 10.79% High and 2.48% Very </w:t>
      </w:r>
      <w:r>
        <w:rPr/>
        <w:t>High</w:t>
      </w:r>
      <w:r>
        <w:rPr/>
        <w:t> susceptibility. It also overlaid susceptibility with population density to understand vulnerability. [1]</w:t>
      </w:r>
    </w:p>
    <w:p>
      <w:pPr>
        <w:pStyle w:val="BodyText"/>
        <w:spacing w:line="276" w:lineRule="auto"/>
        <w:ind w:right="722"/>
      </w:pPr>
      <w:r>
        <w:rPr/>
        <w:t>This paper is particularly important because the second supplied map is explicitly a GIS-based </w:t>
      </w:r>
      <w:r>
        <w:rPr/>
        <w:t>flood</w:t>
      </w:r>
      <w:r>
        <w:rPr/>
        <w:t> vulnerability assessment of Cachar. The study demonstrates how</w:t>
      </w:r>
      <w:r>
        <w:rPr>
          <w:spacing w:val="-5"/>
        </w:rPr>
        <w:t> </w:t>
      </w:r>
      <w:r>
        <w:rPr/>
        <w:t>physical</w:t>
      </w:r>
      <w:r>
        <w:rPr>
          <w:spacing w:val="-5"/>
        </w:rPr>
        <w:t> </w:t>
      </w:r>
      <w:r>
        <w:rPr/>
        <w:t>susceptibility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combine</w:t>
      </w:r>
      <w:r>
        <w:rPr/>
        <w:t>d</w:t>
      </w:r>
      <w:r>
        <w:rPr/>
        <w:t> with demographic exposure. It also provides a methodological warning: a susceptibility map and </w:t>
      </w:r>
      <w:r>
        <w:rPr/>
        <w:t>a</w:t>
      </w:r>
      <w:r>
        <w:rPr/>
        <w:t> vulnerability map answer related but different questions.</w:t>
      </w:r>
    </w:p>
    <w:p>
      <w:pPr>
        <w:pStyle w:val="BodyText"/>
        <w:spacing w:line="276" w:lineRule="auto"/>
        <w:ind w:right="719"/>
      </w:pPr>
      <w:r>
        <w:rPr/>
        <w:t>For the present comparison, the paper provides context for interpreting the Cachar map,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supplied</w:t>
      </w:r>
      <w:r>
        <w:rPr/>
        <w:t> map itself is treated as the primary visual source. The published percentages are not</w:t>
      </w:r>
      <w:r>
        <w:rPr>
          <w:spacing w:val="-3"/>
        </w:rPr>
        <w:t> </w:t>
      </w:r>
      <w:r>
        <w:rPr/>
        <w:t>assumed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pixel</w:t>
      </w:r>
      <w:r>
        <w:rPr/>
        <w:t> counts derived from the supplied image; they are reported study values.</w:t>
      </w:r>
    </w:p>
    <w:p>
      <w:pPr>
        <w:pStyle w:val="Heading4"/>
        <w:numPr>
          <w:ilvl w:val="2"/>
          <w:numId w:val="2"/>
        </w:numPr>
        <w:tabs>
          <w:tab w:pos="540" w:val="left" w:leader="none"/>
        </w:tabs>
        <w:spacing w:line="240" w:lineRule="auto" w:before="200" w:after="0"/>
        <w:ind w:left="540" w:right="0" w:hanging="540"/>
        <w:jc w:val="both"/>
      </w:pPr>
      <w:r>
        <w:rPr/>
        <w:t>Study 2: GIS-Based Flood Risk Mapping of </w:t>
      </w:r>
      <w:r>
        <w:rPr>
          <w:spacing w:val="-2"/>
        </w:rPr>
        <w:t>Assam</w:t>
      </w:r>
    </w:p>
    <w:p>
      <w:pPr>
        <w:pStyle w:val="BodyText"/>
        <w:spacing w:line="276" w:lineRule="auto" w:before="41"/>
        <w:ind w:right="718"/>
      </w:pPr>
      <w:r>
        <w:rPr/>
        <w:t>A regional Assam study applied multi-criteria decision analysis and AHP to develop flood </w:t>
      </w:r>
      <w:r>
        <w:rPr/>
        <w:t>hazard,</w:t>
      </w:r>
      <w:r>
        <w:rPr/>
        <w:t> vulnerability and risk indices. The study considered topographical, geological, meteorological, </w:t>
      </w:r>
      <w:r>
        <w:rPr/>
        <w:t>drainage,</w:t>
      </w:r>
      <w:r>
        <w:rPr/>
        <w:t> land-use/land-cover and demographic characteristics. It reported that more than 70% of the region </w:t>
      </w:r>
      <w:r>
        <w:rPr/>
        <w:t>fell</w:t>
      </w:r>
      <w:r>
        <w:rPr/>
        <w:t> within</w:t>
      </w:r>
      <w:r>
        <w:rPr>
          <w:spacing w:val="80"/>
        </w:rPr>
        <w:t> </w:t>
      </w:r>
      <w:r>
        <w:rPr/>
        <w:t>moderate-to-very-high</w:t>
      </w:r>
      <w:r>
        <w:rPr>
          <w:spacing w:val="80"/>
        </w:rPr>
        <w:t> </w:t>
      </w:r>
      <w:r>
        <w:rPr/>
        <w:t>flood</w:t>
      </w:r>
      <w:r>
        <w:rPr>
          <w:spacing w:val="80"/>
        </w:rPr>
        <w:t> </w:t>
      </w:r>
      <w:r>
        <w:rPr/>
        <w:t>hazard</w:t>
      </w:r>
      <w:r>
        <w:rPr>
          <w:spacing w:val="80"/>
        </w:rPr>
        <w:t> </w:t>
      </w:r>
      <w:r>
        <w:rPr/>
        <w:t>classes,</w:t>
      </w:r>
      <w:r>
        <w:rPr>
          <w:spacing w:val="80"/>
        </w:rPr>
        <w:t> </w:t>
      </w:r>
      <w:r>
        <w:rPr/>
        <w:t>while</w:t>
      </w:r>
      <w:r>
        <w:rPr>
          <w:spacing w:val="80"/>
        </w:rPr>
        <w:t> </w:t>
      </w:r>
      <w:r>
        <w:rPr/>
        <w:t>57.37%</w:t>
      </w:r>
      <w:r>
        <w:rPr>
          <w:spacing w:val="80"/>
        </w:rPr>
        <w:t> </w:t>
      </w:r>
      <w:r>
        <w:rPr/>
        <w:t>and</w:t>
      </w:r>
      <w:r>
        <w:rPr>
          <w:spacing w:val="80"/>
        </w:rPr>
        <w:t> </w:t>
      </w:r>
      <w:r>
        <w:rPr/>
        <w:t>50%</w:t>
      </w:r>
      <w:r>
        <w:rPr>
          <w:spacing w:val="80"/>
        </w:rPr>
        <w:t> </w:t>
      </w:r>
      <w:r>
        <w:rPr/>
        <w:t>were</w:t>
      </w:r>
      <w:r>
        <w:rPr>
          <w:spacing w:val="80"/>
        </w:rPr>
        <w:t> </w:t>
      </w:r>
      <w:r>
        <w:rPr/>
        <w:t>withi</w:t>
      </w:r>
      <w:r>
        <w:rPr/>
        <w:t>n</w:t>
      </w:r>
      <w:r>
        <w:rPr/>
        <w:t> moderate-to-very-high vulnerability and risk classes respectively. [2]</w:t>
      </w:r>
    </w:p>
    <w:p>
      <w:pPr>
        <w:pStyle w:val="BodyText"/>
        <w:spacing w:line="276" w:lineRule="auto"/>
        <w:ind w:right="720"/>
      </w:pPr>
      <w:r>
        <w:rPr/>
        <w:t>The study is useful for the present report because it separates hazard, vulnerability and risk. </w:t>
      </w:r>
      <w:r>
        <w:rPr/>
        <w:t>This</w:t>
      </w:r>
      <w:r>
        <w:rPr/>
        <w:t> distinction reinforces the need to avoid treating the labels on the two supplied maps as </w:t>
      </w:r>
      <w:r>
        <w:rPr/>
        <w:t>perfectly</w:t>
      </w:r>
      <w:r>
        <w:rPr/>
        <w:t> equivalent. A</w:t>
      </w:r>
      <w:r>
        <w:rPr>
          <w:spacing w:val="-3"/>
        </w:rPr>
        <w:t> </w:t>
      </w:r>
      <w:r>
        <w:rPr/>
        <w:t>map</w:t>
      </w:r>
      <w:r>
        <w:rPr>
          <w:spacing w:val="-3"/>
        </w:rPr>
        <w:t> </w:t>
      </w:r>
      <w:r>
        <w:rPr/>
        <w:t>labelled</w:t>
      </w:r>
      <w:r>
        <w:rPr>
          <w:spacing w:val="-3"/>
        </w:rPr>
        <w:t> </w:t>
      </w:r>
      <w:r>
        <w:rPr/>
        <w:t>risk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/>
        <w:t>include</w:t>
      </w:r>
      <w:r>
        <w:rPr>
          <w:spacing w:val="-3"/>
        </w:rPr>
        <w:t> </w:t>
      </w:r>
      <w:r>
        <w:rPr/>
        <w:t>exposure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vulnerability</w:t>
      </w:r>
      <w:r>
        <w:rPr>
          <w:spacing w:val="-3"/>
        </w:rPr>
        <w:t> </w:t>
      </w:r>
      <w:r>
        <w:rPr/>
        <w:t>components,</w:t>
      </w:r>
      <w:r>
        <w:rPr>
          <w:spacing w:val="-3"/>
        </w:rPr>
        <w:t> </w:t>
      </w:r>
      <w:r>
        <w:rPr/>
        <w:t>while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map</w:t>
      </w:r>
      <w:r>
        <w:rPr>
          <w:spacing w:val="-3"/>
        </w:rPr>
        <w:t> </w:t>
      </w:r>
      <w:r>
        <w:rPr/>
        <w:t>labelled</w:t>
      </w:r>
      <w:r>
        <w:rPr/>
        <w:t> vulnerability may be dominated by social or physical susceptibility indicators.</w:t>
      </w:r>
    </w:p>
    <w:p>
      <w:pPr>
        <w:pStyle w:val="BodyText"/>
        <w:spacing w:line="276" w:lineRule="auto"/>
        <w:ind w:right="718"/>
      </w:pPr>
      <w:r>
        <w:rPr/>
        <w:t>The</w:t>
      </w:r>
      <w:r>
        <w:rPr>
          <w:spacing w:val="-3"/>
        </w:rPr>
        <w:t> </w:t>
      </w:r>
      <w:r>
        <w:rPr/>
        <w:t>main</w:t>
      </w:r>
      <w:r>
        <w:rPr>
          <w:spacing w:val="-3"/>
        </w:rPr>
        <w:t> </w:t>
      </w:r>
      <w:r>
        <w:rPr/>
        <w:t>gap</w:t>
      </w:r>
      <w:r>
        <w:rPr>
          <w:spacing w:val="-3"/>
        </w:rPr>
        <w:t> </w:t>
      </w:r>
      <w:r>
        <w:rPr/>
        <w:t>relevant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project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cross-district</w:t>
      </w:r>
      <w:r>
        <w:rPr>
          <w:spacing w:val="-3"/>
        </w:rPr>
        <w:t> </w:t>
      </w:r>
      <w:r>
        <w:rPr/>
        <w:t>comparability.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model</w:t>
      </w:r>
      <w:r>
        <w:rPr>
          <w:spacing w:val="-3"/>
        </w:rPr>
        <w:t> </w:t>
      </w:r>
      <w:r>
        <w:rPr/>
        <w:t>designed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Assam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/>
        <w:t>use</w:t>
      </w:r>
      <w:r>
        <w:rPr/>
        <w:t> region-specific variables and weights that are not appropriate for Hardoi. Therefore, the present </w:t>
      </w:r>
      <w:r>
        <w:rPr/>
        <w:t>project</w:t>
      </w:r>
      <w:r>
        <w:rPr/>
        <w:t> compares spatial patterns and methodological implications rather than declaring one district </w:t>
      </w:r>
      <w:r>
        <w:rPr/>
        <w:t>universall</w:t>
      </w:r>
      <w:r>
        <w:rPr/>
        <w:t>y</w:t>
      </w:r>
      <w:r>
        <w:rPr/>
        <w:t> more flood-prone than the other.</w:t>
      </w:r>
    </w:p>
    <w:p>
      <w:pPr>
        <w:pStyle w:val="Heading4"/>
        <w:numPr>
          <w:ilvl w:val="2"/>
          <w:numId w:val="2"/>
        </w:numPr>
        <w:tabs>
          <w:tab w:pos="540" w:val="left" w:leader="none"/>
        </w:tabs>
        <w:spacing w:line="240" w:lineRule="auto" w:before="200" w:after="0"/>
        <w:ind w:left="540" w:right="0" w:hanging="540"/>
        <w:jc w:val="both"/>
      </w:pPr>
      <w:r>
        <w:rPr/>
        <w:t>Study 3: Krishna District, Andhra </w:t>
      </w:r>
      <w:r>
        <w:rPr>
          <w:spacing w:val="-2"/>
        </w:rPr>
        <w:t>Pradesh</w:t>
      </w:r>
    </w:p>
    <w:p>
      <w:pPr>
        <w:pStyle w:val="BodyText"/>
        <w:spacing w:line="276" w:lineRule="auto" w:before="41"/>
        <w:ind w:right="718"/>
      </w:pPr>
      <w:r>
        <w:rPr/>
        <w:t>A GIS-enabled AHP study of Krishna District integrated remote sensing and GIS with eleven </w:t>
      </w:r>
      <w:r>
        <w:rPr/>
        <w:t>factors:</w:t>
      </w:r>
      <w:r>
        <w:rPr/>
        <w:t> elevation, slope, aspect, LULC, drainage density, TWI, stream power index, lithology, soil, </w:t>
      </w:r>
      <w:r>
        <w:rPr/>
        <w:t>precipitation</w:t>
      </w:r>
      <w:r>
        <w:rPr/>
        <w:t> and</w:t>
      </w:r>
      <w:r>
        <w:rPr>
          <w:spacing w:val="40"/>
        </w:rPr>
        <w:t> </w:t>
      </w:r>
      <w:r>
        <w:rPr/>
        <w:t>distance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streams.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work</w:t>
      </w:r>
      <w:r>
        <w:rPr>
          <w:spacing w:val="40"/>
        </w:rPr>
        <w:t> </w:t>
      </w:r>
      <w:r>
        <w:rPr/>
        <w:t>demonstrates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value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combining</w:t>
      </w:r>
      <w:r>
        <w:rPr>
          <w:spacing w:val="40"/>
        </w:rPr>
        <w:t> </w:t>
      </w:r>
      <w:r>
        <w:rPr/>
        <w:t>terrain,</w:t>
      </w:r>
      <w:r>
        <w:rPr>
          <w:spacing w:val="40"/>
        </w:rPr>
        <w:t> </w:t>
      </w:r>
      <w:r>
        <w:rPr/>
        <w:t>hydrology</w:t>
      </w:r>
      <w:r>
        <w:rPr>
          <w:spacing w:val="40"/>
        </w:rPr>
        <w:t> </w:t>
      </w:r>
      <w:r>
        <w:rPr/>
        <w:t>and</w:t>
      </w:r>
      <w:r>
        <w:rPr/>
        <w:t> land-surface characteristics rather than relying on a single flood indicator. [3]</w:t>
      </w:r>
    </w:p>
    <w:p>
      <w:pPr>
        <w:pStyle w:val="BodyText"/>
        <w:spacing w:line="276" w:lineRule="auto"/>
        <w:ind w:right="719"/>
      </w:pPr>
      <w:r>
        <w:rPr/>
        <w:t>The Krishna study supports the interpretation that high-risk patterns should be examined in relation </w:t>
      </w:r>
      <w:r>
        <w:rPr/>
        <w:t>to</w:t>
      </w:r>
      <w:r>
        <w:rPr/>
        <w:t> physical controls. For example, lower elevation and gentle slopes can encourage water </w:t>
      </w:r>
      <w:r>
        <w:rPr/>
        <w:t>accumulation,</w:t>
      </w:r>
      <w:r>
        <w:rPr/>
        <w:t> while proximity to streams increases the probability of direct inundation. Land-cover conditions </w:t>
      </w:r>
      <w:r>
        <w:rPr/>
        <w:t>may</w:t>
      </w:r>
      <w:r>
        <w:rPr/>
        <w:t> further modify runoff and infiltration.</w:t>
      </w:r>
    </w:p>
    <w:p>
      <w:pPr>
        <w:pStyle w:val="BodyText"/>
        <w:spacing w:after="0" w:line="276" w:lineRule="auto"/>
        <w:sectPr>
          <w:pgSz w:w="12240" w:h="15840"/>
          <w:pgMar w:header="727" w:footer="0" w:top="1340" w:bottom="280" w:left="1440" w:right="720"/>
        </w:sectPr>
      </w:pPr>
    </w:p>
    <w:p>
      <w:pPr>
        <w:pStyle w:val="BodyText"/>
        <w:spacing w:line="276" w:lineRule="auto" w:before="80"/>
        <w:ind w:right="721"/>
      </w:pPr>
      <w:r>
        <w:rPr/>
        <w:t>A limitation is that AHP-based weighting remains dependent on the selected criteria and the </w:t>
      </w:r>
      <w:r>
        <w:rPr/>
        <w:t>judgement</w:t>
      </w:r>
      <w:r>
        <w:rPr/>
        <w:t> used to assign relative importance. Two research teams using different weights may produce dif</w:t>
      </w:r>
      <w:r>
        <w:rPr/>
        <w:t>ferent</w:t>
      </w:r>
      <w:r>
        <w:rPr/>
        <w:t> maps from the same basic data. This is directly relevant to a comparison of Hardoi and Cachar.</w:t>
      </w:r>
    </w:p>
    <w:p>
      <w:pPr>
        <w:pStyle w:val="Heading4"/>
        <w:numPr>
          <w:ilvl w:val="2"/>
          <w:numId w:val="2"/>
        </w:numPr>
        <w:tabs>
          <w:tab w:pos="540" w:val="left" w:leader="none"/>
        </w:tabs>
        <w:spacing w:line="240" w:lineRule="auto" w:before="200" w:after="0"/>
        <w:ind w:left="540" w:right="0" w:hanging="540"/>
        <w:jc w:val="both"/>
      </w:pPr>
      <w:r>
        <w:rPr/>
        <w:t>Study 4: Idukki District, </w:t>
      </w:r>
      <w:r>
        <w:rPr>
          <w:spacing w:val="-2"/>
        </w:rPr>
        <w:t>Kerala</w:t>
      </w:r>
    </w:p>
    <w:p>
      <w:pPr>
        <w:pStyle w:val="BodyText"/>
        <w:spacing w:line="276" w:lineRule="auto" w:before="42"/>
        <w:ind w:right="720"/>
      </w:pPr>
      <w:r>
        <w:rPr/>
        <w:t>The Idukki study used AHP to weight twelve flood-contributing parameters and generated a </w:t>
      </w:r>
      <w:r>
        <w:rPr/>
        <w:t>flood</w:t>
      </w:r>
      <w:r>
        <w:rPr/>
        <w:t> susceptibility map. Validation through the AUC-ROC approach produced an accuracy of </w:t>
      </w:r>
      <w:r>
        <w:rPr/>
        <w:t>0.91</w:t>
      </w:r>
      <w:r>
        <w:rPr/>
        <w:t>,</w:t>
      </w:r>
      <w:r>
        <w:rPr/>
        <w:t> demonstrating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importance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independent</w:t>
      </w:r>
      <w:r>
        <w:rPr>
          <w:spacing w:val="40"/>
        </w:rPr>
        <w:t> </w:t>
      </w:r>
      <w:r>
        <w:rPr/>
        <w:t>validation</w:t>
      </w:r>
      <w:r>
        <w:rPr>
          <w:spacing w:val="40"/>
        </w:rPr>
        <w:t> </w:t>
      </w:r>
      <w:r>
        <w:rPr/>
        <w:t>when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susceptibility</w:t>
      </w:r>
      <w:r>
        <w:rPr>
          <w:spacing w:val="40"/>
        </w:rPr>
        <w:t> </w:t>
      </w:r>
      <w:r>
        <w:rPr/>
        <w:t>map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used</w:t>
      </w:r>
      <w:r>
        <w:rPr>
          <w:spacing w:val="40"/>
        </w:rPr>
        <w:t> </w:t>
      </w:r>
      <w:r>
        <w:rPr/>
        <w:t>for</w:t>
      </w:r>
      <w:r>
        <w:rPr/>
        <w:t> decision-making. [4]</w:t>
      </w:r>
    </w:p>
    <w:p>
      <w:pPr>
        <w:pStyle w:val="BodyText"/>
        <w:spacing w:line="276" w:lineRule="auto"/>
        <w:ind w:right="730"/>
      </w:pPr>
      <w:r>
        <w:rPr/>
        <w:t>The methodological lesson for the present project is that visual plausibility alone is not sufficient </w:t>
      </w:r>
      <w:r>
        <w:rPr/>
        <w:t>to</w:t>
      </w:r>
      <w:r>
        <w:rPr/>
        <w:t> establish model accuracy. A map may contain visually coherent high-risk zones while still </w:t>
      </w:r>
      <w:r>
        <w:rPr/>
        <w:t>requiring</w:t>
      </w:r>
      <w:r>
        <w:rPr/>
        <w:t> historical flood observations to test whether those zones correspond to actual inundation events.</w:t>
      </w:r>
    </w:p>
    <w:p>
      <w:pPr>
        <w:pStyle w:val="BodyText"/>
        <w:spacing w:line="276" w:lineRule="auto"/>
        <w:ind w:right="727"/>
      </w:pPr>
      <w:r>
        <w:rPr/>
        <w:t>The present supplied maps do not include their original validation statistics. Therefore, this report </w:t>
      </w:r>
      <w:r>
        <w:rPr/>
        <w:t>does</w:t>
      </w:r>
      <w:r>
        <w:rPr>
          <w:spacing w:val="40"/>
        </w:rPr>
        <w:t> </w:t>
      </w:r>
      <w:r>
        <w:rPr/>
        <w:t>not assign an accuracy value to either map. A future version of the project should compare both </w:t>
      </w:r>
      <w:r>
        <w:rPr/>
        <w:t>maps</w:t>
      </w:r>
      <w:r>
        <w:rPr/>
        <w:t> against a common flood inventory derived from satellite observations or official inundation records.</w:t>
      </w:r>
    </w:p>
    <w:p>
      <w:pPr>
        <w:pStyle w:val="Heading4"/>
        <w:numPr>
          <w:ilvl w:val="2"/>
          <w:numId w:val="2"/>
        </w:numPr>
        <w:tabs>
          <w:tab w:pos="540" w:val="left" w:leader="none"/>
        </w:tabs>
        <w:spacing w:line="240" w:lineRule="auto" w:before="200" w:after="0"/>
        <w:ind w:left="540" w:right="0" w:hanging="540"/>
        <w:jc w:val="both"/>
      </w:pPr>
      <w:r>
        <w:rPr/>
        <w:t>Study 5: Recent GIS-AHP </w:t>
      </w:r>
      <w:r>
        <w:rPr>
          <w:spacing w:val="-2"/>
        </w:rPr>
        <w:t>Research</w:t>
      </w:r>
    </w:p>
    <w:p>
      <w:pPr>
        <w:pStyle w:val="BodyText"/>
        <w:spacing w:line="276" w:lineRule="auto" w:before="41"/>
        <w:ind w:right="726"/>
      </w:pPr>
      <w:r>
        <w:rPr/>
        <w:t>Recent research continues to refine GIS-AHP flood mapping. A 2026 Savitri River Basin </w:t>
      </w:r>
      <w:r>
        <w:rPr/>
        <w:t>study</w:t>
      </w:r>
      <w:r>
        <w:rPr/>
        <w:t> incorporated ten factors including</w:t>
      </w:r>
      <w:r>
        <w:rPr>
          <w:spacing w:val="-4"/>
        </w:rPr>
        <w:t> </w:t>
      </w:r>
      <w:r>
        <w:rPr/>
        <w:t>elevation,</w:t>
      </w:r>
      <w:r>
        <w:rPr>
          <w:spacing w:val="-4"/>
        </w:rPr>
        <w:t> </w:t>
      </w:r>
      <w:r>
        <w:rPr/>
        <w:t>slope,</w:t>
      </w:r>
      <w:r>
        <w:rPr>
          <w:spacing w:val="-4"/>
        </w:rPr>
        <w:t> </w:t>
      </w:r>
      <w:r>
        <w:rPr/>
        <w:t>distance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river,</w:t>
      </w:r>
      <w:r>
        <w:rPr>
          <w:spacing w:val="-4"/>
        </w:rPr>
        <w:t> </w:t>
      </w:r>
      <w:r>
        <w:rPr/>
        <w:t>distance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roads,</w:t>
      </w:r>
      <w:r>
        <w:rPr>
          <w:spacing w:val="-4"/>
        </w:rPr>
        <w:t> </w:t>
      </w:r>
      <w:r>
        <w:rPr/>
        <w:t>precipitation,</w:t>
      </w:r>
      <w:r>
        <w:rPr/>
        <w:t> drainage density, NDVI, TWI, LULC and soil texture. The authors reported that elevation, </w:t>
      </w:r>
      <w:r>
        <w:rPr/>
        <w:t>precipitation</w:t>
      </w:r>
      <w:r>
        <w:rPr/>
        <w:t> and drainage density were among the primary influences and highlighted the value of a structured </w:t>
      </w:r>
      <w:r>
        <w:rPr/>
        <w:t>AHP</w:t>
      </w:r>
      <w:r>
        <w:rPr/>
        <w:t> framework. [5]</w:t>
      </w:r>
    </w:p>
    <w:p>
      <w:pPr>
        <w:pStyle w:val="BodyText"/>
        <w:spacing w:line="276" w:lineRule="auto"/>
        <w:ind w:right="719"/>
      </w:pPr>
      <w:r>
        <w:rPr/>
        <w:t>A 2026 Damodar River Basin study further extended GIS-AHP by integrating additional indicators</w:t>
      </w:r>
      <w:r>
        <w:rPr>
          <w:spacing w:val="-3"/>
        </w:rPr>
        <w:t> </w:t>
      </w:r>
      <w:r>
        <w:rPr/>
        <w:t>such</w:t>
      </w:r>
      <w:r>
        <w:rPr/>
        <w:t> as NDWI and surface</w:t>
      </w:r>
      <w:r>
        <w:rPr>
          <w:spacing w:val="-3"/>
        </w:rPr>
        <w:t> </w:t>
      </w:r>
      <w:r>
        <w:rPr/>
        <w:t>roughness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improve</w:t>
      </w:r>
      <w:r>
        <w:rPr>
          <w:spacing w:val="-3"/>
        </w:rPr>
        <w:t> </w:t>
      </w:r>
      <w:r>
        <w:rPr/>
        <w:t>spatial</w:t>
      </w:r>
      <w:r>
        <w:rPr>
          <w:spacing w:val="-3"/>
        </w:rPr>
        <w:t> </w:t>
      </w:r>
      <w:r>
        <w:rPr/>
        <w:t>detail.</w:t>
      </w:r>
      <w:r>
        <w:rPr>
          <w:spacing w:val="-3"/>
        </w:rPr>
        <w:t> </w:t>
      </w:r>
      <w:r>
        <w:rPr/>
        <w:t>[6]</w:t>
      </w:r>
      <w:r>
        <w:rPr>
          <w:spacing w:val="-3"/>
        </w:rPr>
        <w:t> </w:t>
      </w:r>
      <w:r>
        <w:rPr/>
        <w:t>These</w:t>
      </w:r>
      <w:r>
        <w:rPr>
          <w:spacing w:val="-3"/>
        </w:rPr>
        <w:t> </w:t>
      </w:r>
      <w:r>
        <w:rPr/>
        <w:t>recent</w:t>
      </w:r>
      <w:r>
        <w:rPr>
          <w:spacing w:val="-3"/>
        </w:rPr>
        <w:t> </w:t>
      </w:r>
      <w:r>
        <w:rPr/>
        <w:t>studies</w:t>
      </w:r>
      <w:r>
        <w:rPr>
          <w:spacing w:val="-3"/>
        </w:rPr>
        <w:t> </w:t>
      </w:r>
      <w:r>
        <w:rPr/>
        <w:t>indicate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trend</w:t>
      </w:r>
      <w:r>
        <w:rPr>
          <w:spacing w:val="-3"/>
        </w:rPr>
        <w:t> </w:t>
      </w:r>
      <w:r>
        <w:rPr/>
        <w:t>toward</w:t>
      </w:r>
      <w:r>
        <w:rPr/>
        <w:t> combining traditional susceptibility variables with indicators derived from remote sensing and </w:t>
      </w:r>
      <w:r>
        <w:rPr/>
        <w:t>surfac</w:t>
      </w:r>
      <w:r>
        <w:rPr/>
        <w:t>e</w:t>
      </w:r>
      <w:r>
        <w:rPr/>
        <w:t> </w:t>
      </w:r>
      <w:r>
        <w:rPr>
          <w:spacing w:val="-2"/>
        </w:rPr>
        <w:t>characteristics.</w:t>
      </w:r>
    </w:p>
    <w:p>
      <w:pPr>
        <w:pStyle w:val="BodyText"/>
        <w:spacing w:line="276" w:lineRule="auto"/>
        <w:ind w:right="721"/>
      </w:pPr>
      <w:r>
        <w:rPr/>
        <w:t>The literature gap that remains relevant to the present project is the need for standardized </w:t>
      </w:r>
      <w:r>
        <w:rPr/>
        <w:t>comparative</w:t>
      </w:r>
      <w:r>
        <w:rPr/>
        <w:t> frameworks. A map comparison should ideally use the same projection, cell size, factor </w:t>
      </w:r>
      <w:r>
        <w:rPr/>
        <w:t>definitions,</w:t>
      </w:r>
      <w:r>
        <w:rPr/>
        <w:t> normalization scheme, weighting process and validation dataset. Without this harmonization, </w:t>
      </w:r>
      <w:r>
        <w:rPr/>
        <w:t>visual</w:t>
      </w:r>
      <w:r>
        <w:rPr/>
        <w:t> comparison remains useful but quantitative ranking is uncertain.</w:t>
      </w:r>
    </w:p>
    <w:p>
      <w:pPr>
        <w:pStyle w:val="Heading2"/>
        <w:numPr>
          <w:ilvl w:val="1"/>
          <w:numId w:val="2"/>
        </w:numPr>
        <w:tabs>
          <w:tab w:pos="419" w:val="left" w:leader="none"/>
        </w:tabs>
        <w:spacing w:line="240" w:lineRule="auto" w:before="200" w:after="0"/>
        <w:ind w:left="419" w:right="0" w:hanging="419"/>
        <w:jc w:val="both"/>
      </w:pPr>
      <w:r>
        <w:rPr/>
        <w:t>Statement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Problem</w:t>
      </w:r>
    </w:p>
    <w:p>
      <w:pPr>
        <w:pStyle w:val="BodyText"/>
        <w:spacing w:line="276" w:lineRule="auto" w:before="48"/>
        <w:ind w:right="724"/>
      </w:pPr>
      <w:r>
        <w:rPr/>
        <w:t>Flood-risk maps are increasingly used to support planning and disaster management, but maps</w:t>
      </w:r>
      <w:r>
        <w:rPr>
          <w:spacing w:val="-3"/>
        </w:rPr>
        <w:t> </w:t>
      </w:r>
      <w:r>
        <w:rPr/>
        <w:t>produced</w:t>
      </w:r>
      <w:r>
        <w:rPr/>
        <w:t> for different districts may use different definitions, input factors, scales and classification </w:t>
      </w:r>
      <w:r>
        <w:rPr/>
        <w:t>methods.</w:t>
      </w:r>
      <w:r>
        <w:rPr/>
        <w:t> Comparing such maps without identifying these differences can lead to misleading conclusions.</w:t>
      </w:r>
    </w:p>
    <w:p>
      <w:pPr>
        <w:pStyle w:val="BodyText"/>
        <w:spacing w:line="276" w:lineRule="auto"/>
        <w:ind w:right="728"/>
      </w:pPr>
      <w:r>
        <w:rPr/>
        <w:t>The specific problem addressed by this study is therefore: How do the spatial patterns of </w:t>
      </w:r>
      <w:r>
        <w:rPr/>
        <w:t>flood</w:t>
      </w:r>
      <w:r>
        <w:rPr/>
        <w:t> risk/vulnerability shown for Hardoi District and Cachar District differ, what common patterns can </w:t>
      </w:r>
      <w:r>
        <w:rPr/>
        <w:t>be</w:t>
      </w:r>
      <w:r>
        <w:rPr/>
        <w:t> identified, and what methodological limitations must be considered before treating the two maps </w:t>
      </w:r>
      <w:r>
        <w:rPr/>
        <w:t>as</w:t>
      </w:r>
      <w:r>
        <w:rPr/>
        <w:t> quantitatively comparable? A map may visually show a large amount of red or orange, but the </w:t>
      </w:r>
      <w:r>
        <w:rPr/>
        <w:t>viewer</w:t>
      </w:r>
      <w:r>
        <w:rPr/>
        <w:t> needs to know whether the colour represents physical hazard, social vulnerability, integrated risk, or </w:t>
      </w:r>
      <w:r>
        <w:rPr/>
        <w:t>a</w:t>
      </w:r>
      <w:r>
        <w:rPr/>
        <w:t> susceptibility score. The report therefore evaluates both spatial content and map terminology.</w:t>
      </w:r>
    </w:p>
    <w:p>
      <w:pPr>
        <w:pStyle w:val="BodyText"/>
        <w:spacing w:after="0" w:line="276" w:lineRule="auto"/>
        <w:sectPr>
          <w:pgSz w:w="12240" w:h="15840"/>
          <w:pgMar w:header="727" w:footer="0" w:top="1340" w:bottom="280" w:left="1440" w:right="720"/>
        </w:sectPr>
      </w:pPr>
    </w:p>
    <w:p>
      <w:pPr>
        <w:pStyle w:val="Heading2"/>
        <w:numPr>
          <w:ilvl w:val="1"/>
          <w:numId w:val="2"/>
        </w:numPr>
        <w:tabs>
          <w:tab w:pos="419" w:val="left" w:leader="none"/>
        </w:tabs>
        <w:spacing w:line="240" w:lineRule="auto" w:before="80" w:after="0"/>
        <w:ind w:left="419" w:right="0" w:hanging="419"/>
        <w:jc w:val="left"/>
      </w:pPr>
      <w:r>
        <w:rPr/>
        <w:t>Objectives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Research</w:t>
      </w:r>
    </w:p>
    <w:p>
      <w:pPr>
        <w:pStyle w:val="ListParagraph"/>
        <w:numPr>
          <w:ilvl w:val="0"/>
          <w:numId w:val="3"/>
        </w:numPr>
        <w:tabs>
          <w:tab w:pos="540" w:val="left" w:leader="none"/>
        </w:tabs>
        <w:spacing w:line="336" w:lineRule="auto" w:before="49" w:after="0"/>
        <w:ind w:left="540" w:right="719" w:hanging="360"/>
        <w:jc w:val="left"/>
        <w:rPr>
          <w:sz w:val="22"/>
        </w:rPr>
      </w:pPr>
      <w:r>
        <w:rPr>
          <w:sz w:val="22"/>
        </w:rPr>
        <w:t>To</w:t>
      </w:r>
      <w:r>
        <w:rPr>
          <w:spacing w:val="25"/>
          <w:sz w:val="22"/>
        </w:rPr>
        <w:t> </w:t>
      </w:r>
      <w:r>
        <w:rPr>
          <w:sz w:val="22"/>
        </w:rPr>
        <w:t>examine</w:t>
      </w:r>
      <w:r>
        <w:rPr>
          <w:spacing w:val="25"/>
          <w:sz w:val="22"/>
        </w:rPr>
        <w:t> </w:t>
      </w:r>
      <w:r>
        <w:rPr>
          <w:sz w:val="22"/>
        </w:rPr>
        <w:t>the</w:t>
      </w:r>
      <w:r>
        <w:rPr>
          <w:spacing w:val="25"/>
          <w:sz w:val="22"/>
        </w:rPr>
        <w:t> </w:t>
      </w:r>
      <w:r>
        <w:rPr>
          <w:sz w:val="22"/>
        </w:rPr>
        <w:t>spatial</w:t>
      </w:r>
      <w:r>
        <w:rPr>
          <w:spacing w:val="25"/>
          <w:sz w:val="22"/>
        </w:rPr>
        <w:t> </w:t>
      </w:r>
      <w:r>
        <w:rPr>
          <w:sz w:val="22"/>
        </w:rPr>
        <w:t>distribution</w:t>
      </w:r>
      <w:r>
        <w:rPr>
          <w:spacing w:val="25"/>
          <w:sz w:val="22"/>
        </w:rPr>
        <w:t> </w:t>
      </w:r>
      <w:r>
        <w:rPr>
          <w:sz w:val="22"/>
        </w:rPr>
        <w:t>of</w:t>
      </w:r>
      <w:r>
        <w:rPr>
          <w:spacing w:val="25"/>
          <w:sz w:val="22"/>
        </w:rPr>
        <w:t> </w:t>
      </w:r>
      <w:r>
        <w:rPr>
          <w:sz w:val="22"/>
        </w:rPr>
        <w:t>five</w:t>
      </w:r>
      <w:r>
        <w:rPr>
          <w:spacing w:val="25"/>
          <w:sz w:val="22"/>
        </w:rPr>
        <w:t> </w:t>
      </w:r>
      <w:r>
        <w:rPr>
          <w:sz w:val="22"/>
        </w:rPr>
        <w:t>flood-risk/vulnerability</w:t>
      </w:r>
      <w:r>
        <w:rPr>
          <w:spacing w:val="25"/>
          <w:sz w:val="22"/>
        </w:rPr>
        <w:t> </w:t>
      </w:r>
      <w:r>
        <w:rPr>
          <w:sz w:val="22"/>
        </w:rPr>
        <w:t>classes</w:t>
      </w:r>
      <w:r>
        <w:rPr>
          <w:spacing w:val="25"/>
          <w:sz w:val="22"/>
        </w:rPr>
        <w:t> </w:t>
      </w:r>
      <w:r>
        <w:rPr>
          <w:sz w:val="22"/>
        </w:rPr>
        <w:t>in</w:t>
      </w:r>
      <w:r>
        <w:rPr>
          <w:spacing w:val="25"/>
          <w:sz w:val="22"/>
        </w:rPr>
        <w:t> </w:t>
      </w:r>
      <w:r>
        <w:rPr>
          <w:sz w:val="22"/>
        </w:rPr>
        <w:t>the</w:t>
      </w:r>
      <w:r>
        <w:rPr>
          <w:spacing w:val="25"/>
          <w:sz w:val="22"/>
        </w:rPr>
        <w:t> </w:t>
      </w:r>
      <w:r>
        <w:rPr>
          <w:sz w:val="22"/>
        </w:rPr>
        <w:t>supplied </w:t>
      </w:r>
      <w:r>
        <w:rPr>
          <w:sz w:val="22"/>
        </w:rPr>
        <w:t>Hardoi</w:t>
      </w:r>
      <w:r>
        <w:rPr>
          <w:sz w:val="22"/>
        </w:rPr>
        <w:t> and Cachar maps.</w:t>
      </w:r>
    </w:p>
    <w:p>
      <w:pPr>
        <w:pStyle w:val="ListParagraph"/>
        <w:numPr>
          <w:ilvl w:val="0"/>
          <w:numId w:val="3"/>
        </w:numPr>
        <w:tabs>
          <w:tab w:pos="540" w:val="left" w:leader="none"/>
        </w:tabs>
        <w:spacing w:line="336" w:lineRule="auto" w:before="0" w:after="0"/>
        <w:ind w:left="540" w:right="718" w:hanging="360"/>
        <w:jc w:val="left"/>
        <w:rPr>
          <w:sz w:val="22"/>
        </w:rPr>
      </w:pPr>
      <w:r>
        <w:rPr>
          <w:sz w:val="22"/>
        </w:rPr>
        <w:t>To</w:t>
      </w:r>
      <w:r>
        <w:rPr>
          <w:spacing w:val="34"/>
          <w:sz w:val="22"/>
        </w:rPr>
        <w:t> </w:t>
      </w:r>
      <w:r>
        <w:rPr>
          <w:sz w:val="22"/>
        </w:rPr>
        <w:t>identify</w:t>
      </w:r>
      <w:r>
        <w:rPr>
          <w:spacing w:val="34"/>
          <w:sz w:val="22"/>
        </w:rPr>
        <w:t> </w:t>
      </w:r>
      <w:r>
        <w:rPr>
          <w:sz w:val="22"/>
        </w:rPr>
        <w:t>areas</w:t>
      </w:r>
      <w:r>
        <w:rPr>
          <w:spacing w:val="34"/>
          <w:sz w:val="22"/>
        </w:rPr>
        <w:t> </w:t>
      </w:r>
      <w:r>
        <w:rPr>
          <w:sz w:val="22"/>
        </w:rPr>
        <w:t>where</w:t>
      </w:r>
      <w:r>
        <w:rPr>
          <w:spacing w:val="34"/>
          <w:sz w:val="22"/>
        </w:rPr>
        <w:t> </w:t>
      </w:r>
      <w:r>
        <w:rPr>
          <w:sz w:val="22"/>
        </w:rPr>
        <w:t>Very</w:t>
      </w:r>
      <w:r>
        <w:rPr>
          <w:spacing w:val="20"/>
          <w:sz w:val="22"/>
        </w:rPr>
        <w:t> </w:t>
      </w:r>
      <w:r>
        <w:rPr>
          <w:sz w:val="22"/>
        </w:rPr>
        <w:t>Low,</w:t>
      </w:r>
      <w:r>
        <w:rPr>
          <w:spacing w:val="20"/>
          <w:sz w:val="22"/>
        </w:rPr>
        <w:t> </w:t>
      </w:r>
      <w:r>
        <w:rPr>
          <w:sz w:val="22"/>
        </w:rPr>
        <w:t>Low,</w:t>
      </w:r>
      <w:r>
        <w:rPr>
          <w:spacing w:val="20"/>
          <w:sz w:val="22"/>
        </w:rPr>
        <w:t> </w:t>
      </w:r>
      <w:r>
        <w:rPr>
          <w:sz w:val="22"/>
        </w:rPr>
        <w:t>Moderate,</w:t>
      </w:r>
      <w:r>
        <w:rPr>
          <w:spacing w:val="20"/>
          <w:sz w:val="22"/>
        </w:rPr>
        <w:t> </w:t>
      </w:r>
      <w:r>
        <w:rPr>
          <w:sz w:val="22"/>
        </w:rPr>
        <w:t>High</w:t>
      </w:r>
      <w:r>
        <w:rPr>
          <w:spacing w:val="20"/>
          <w:sz w:val="22"/>
        </w:rPr>
        <w:t> </w:t>
      </w:r>
      <w:r>
        <w:rPr>
          <w:sz w:val="22"/>
        </w:rPr>
        <w:t>and</w:t>
      </w:r>
      <w:r>
        <w:rPr>
          <w:spacing w:val="20"/>
          <w:sz w:val="22"/>
        </w:rPr>
        <w:t> </w:t>
      </w:r>
      <w:r>
        <w:rPr>
          <w:sz w:val="22"/>
        </w:rPr>
        <w:t>Very</w:t>
      </w:r>
      <w:r>
        <w:rPr>
          <w:spacing w:val="20"/>
          <w:sz w:val="22"/>
        </w:rPr>
        <w:t> </w:t>
      </w:r>
      <w:r>
        <w:rPr>
          <w:sz w:val="22"/>
        </w:rPr>
        <w:t>High</w:t>
      </w:r>
      <w:r>
        <w:rPr>
          <w:spacing w:val="20"/>
          <w:sz w:val="22"/>
        </w:rPr>
        <w:t> </w:t>
      </w:r>
      <w:r>
        <w:rPr>
          <w:sz w:val="22"/>
        </w:rPr>
        <w:t>categories</w:t>
      </w:r>
      <w:r>
        <w:rPr>
          <w:spacing w:val="20"/>
          <w:sz w:val="22"/>
        </w:rPr>
        <w:t> </w:t>
      </w:r>
      <w:r>
        <w:rPr>
          <w:sz w:val="22"/>
        </w:rPr>
        <w:t>are</w:t>
      </w:r>
      <w:r>
        <w:rPr>
          <w:spacing w:val="20"/>
          <w:sz w:val="22"/>
        </w:rPr>
        <w:t> </w:t>
      </w:r>
      <w:r>
        <w:rPr>
          <w:sz w:val="22"/>
        </w:rPr>
        <w:t>visually</w:t>
      </w:r>
      <w:r>
        <w:rPr>
          <w:sz w:val="22"/>
        </w:rPr>
        <w:t> </w:t>
      </w:r>
      <w:r>
        <w:rPr>
          <w:spacing w:val="-2"/>
          <w:sz w:val="22"/>
        </w:rPr>
        <w:t>concentrated.</w:t>
      </w:r>
    </w:p>
    <w:p>
      <w:pPr>
        <w:pStyle w:val="ListParagraph"/>
        <w:numPr>
          <w:ilvl w:val="0"/>
          <w:numId w:val="3"/>
        </w:numPr>
        <w:tabs>
          <w:tab w:pos="540" w:val="left" w:leader="none"/>
        </w:tabs>
        <w:spacing w:line="336" w:lineRule="auto" w:before="0" w:after="0"/>
        <w:ind w:left="540" w:right="726" w:hanging="360"/>
        <w:jc w:val="left"/>
        <w:rPr>
          <w:sz w:val="22"/>
        </w:rPr>
      </w:pPr>
      <w:r>
        <w:rPr>
          <w:sz w:val="22"/>
        </w:rPr>
        <w:t>To compare the spatial continuity, clustering and corridor patterns of higher-risk classes </w:t>
      </w:r>
      <w:r>
        <w:rPr>
          <w:sz w:val="22"/>
        </w:rPr>
        <w:t>between</w:t>
      </w:r>
      <w:r>
        <w:rPr>
          <w:spacing w:val="80"/>
          <w:sz w:val="22"/>
        </w:rPr>
        <w:t> </w:t>
      </w:r>
      <w:r>
        <w:rPr>
          <w:sz w:val="22"/>
        </w:rPr>
        <w:t>the two districts.</w:t>
      </w:r>
    </w:p>
    <w:p>
      <w:pPr>
        <w:pStyle w:val="ListParagraph"/>
        <w:numPr>
          <w:ilvl w:val="0"/>
          <w:numId w:val="3"/>
        </w:numPr>
        <w:tabs>
          <w:tab w:pos="540" w:val="left" w:leader="none"/>
        </w:tabs>
        <w:spacing w:line="336" w:lineRule="auto" w:before="1" w:after="0"/>
        <w:ind w:left="540" w:right="724" w:hanging="360"/>
        <w:jc w:val="left"/>
        <w:rPr>
          <w:sz w:val="22"/>
        </w:rPr>
      </w:pPr>
      <w:r>
        <w:rPr>
          <w:sz w:val="22"/>
        </w:rPr>
        <w:t>To compare the cartographic design, legends, scale indicators and map communication features </w:t>
      </w:r>
      <w:r>
        <w:rPr>
          <w:sz w:val="22"/>
        </w:rPr>
        <w:t>of</w:t>
      </w:r>
      <w:r>
        <w:rPr>
          <w:sz w:val="22"/>
        </w:rPr>
        <w:t> the two outputs.</w:t>
      </w:r>
    </w:p>
    <w:p>
      <w:pPr>
        <w:pStyle w:val="ListParagraph"/>
        <w:numPr>
          <w:ilvl w:val="0"/>
          <w:numId w:val="3"/>
        </w:numPr>
        <w:tabs>
          <w:tab w:pos="540" w:val="left" w:leader="none"/>
        </w:tabs>
        <w:spacing w:line="336" w:lineRule="auto" w:before="0" w:after="0"/>
        <w:ind w:left="540" w:right="728" w:hanging="360"/>
        <w:jc w:val="left"/>
        <w:rPr>
          <w:sz w:val="22"/>
        </w:rPr>
      </w:pP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review</w:t>
      </w:r>
      <w:r>
        <w:rPr>
          <w:spacing w:val="40"/>
          <w:sz w:val="22"/>
        </w:rPr>
        <w:t> </w:t>
      </w:r>
      <w:r>
        <w:rPr>
          <w:sz w:val="22"/>
        </w:rPr>
        <w:t>GIS,</w:t>
      </w:r>
      <w:r>
        <w:rPr>
          <w:spacing w:val="40"/>
          <w:sz w:val="22"/>
        </w:rPr>
        <w:t> </w:t>
      </w:r>
      <w:r>
        <w:rPr>
          <w:sz w:val="22"/>
        </w:rPr>
        <w:t>remote-sensing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AHP-based</w:t>
      </w:r>
      <w:r>
        <w:rPr>
          <w:spacing w:val="40"/>
          <w:sz w:val="22"/>
        </w:rPr>
        <w:t> </w:t>
      </w:r>
      <w:r>
        <w:rPr>
          <w:sz w:val="22"/>
        </w:rPr>
        <w:t>flood</w:t>
      </w:r>
      <w:r>
        <w:rPr>
          <w:spacing w:val="40"/>
          <w:sz w:val="22"/>
        </w:rPr>
        <w:t> </w:t>
      </w:r>
      <w:r>
        <w:rPr>
          <w:sz w:val="22"/>
        </w:rPr>
        <w:t>literature</w:t>
      </w:r>
      <w:r>
        <w:rPr>
          <w:spacing w:val="25"/>
          <w:sz w:val="22"/>
        </w:rPr>
        <w:t> </w:t>
      </w:r>
      <w:r>
        <w:rPr>
          <w:sz w:val="22"/>
        </w:rPr>
        <w:t>relevant</w:t>
      </w:r>
      <w:r>
        <w:rPr>
          <w:spacing w:val="25"/>
          <w:sz w:val="22"/>
        </w:rPr>
        <w:t> </w:t>
      </w:r>
      <w:r>
        <w:rPr>
          <w:sz w:val="22"/>
        </w:rPr>
        <w:t>to</w:t>
      </w:r>
      <w:r>
        <w:rPr>
          <w:spacing w:val="25"/>
          <w:sz w:val="22"/>
        </w:rPr>
        <w:t> </w:t>
      </w:r>
      <w:r>
        <w:rPr>
          <w:sz w:val="22"/>
        </w:rPr>
        <w:t>interpretation</w:t>
      </w:r>
      <w:r>
        <w:rPr>
          <w:spacing w:val="25"/>
          <w:sz w:val="22"/>
        </w:rPr>
        <w:t> </w:t>
      </w:r>
      <w:r>
        <w:rPr>
          <w:sz w:val="22"/>
        </w:rPr>
        <w:t>of</w:t>
      </w:r>
      <w:r>
        <w:rPr>
          <w:spacing w:val="25"/>
          <w:sz w:val="22"/>
        </w:rPr>
        <w:t> </w:t>
      </w:r>
      <w:r>
        <w:rPr>
          <w:sz w:val="22"/>
        </w:rPr>
        <w:t>the</w:t>
      </w:r>
      <w:r>
        <w:rPr>
          <w:sz w:val="22"/>
        </w:rPr>
        <w:t> </w:t>
      </w:r>
      <w:r>
        <w:rPr>
          <w:spacing w:val="-2"/>
          <w:sz w:val="22"/>
        </w:rPr>
        <w:t>maps.</w:t>
      </w:r>
    </w:p>
    <w:p>
      <w:pPr>
        <w:pStyle w:val="ListParagraph"/>
        <w:numPr>
          <w:ilvl w:val="0"/>
          <w:numId w:val="3"/>
        </w:numPr>
        <w:tabs>
          <w:tab w:pos="539" w:val="left" w:leader="none"/>
        </w:tabs>
        <w:spacing w:line="240" w:lineRule="auto" w:before="0" w:after="0"/>
        <w:ind w:left="539" w:right="0" w:hanging="359"/>
        <w:jc w:val="left"/>
        <w:rPr>
          <w:sz w:val="22"/>
        </w:rPr>
      </w:pP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distinguish</w:t>
      </w:r>
      <w:r>
        <w:rPr>
          <w:spacing w:val="-3"/>
          <w:sz w:val="22"/>
        </w:rPr>
        <w:t> </w:t>
      </w:r>
      <w:r>
        <w:rPr>
          <w:sz w:val="22"/>
        </w:rPr>
        <w:t>map-derived</w:t>
      </w:r>
      <w:r>
        <w:rPr>
          <w:spacing w:val="-3"/>
          <w:sz w:val="22"/>
        </w:rPr>
        <w:t> </w:t>
      </w:r>
      <w:r>
        <w:rPr>
          <w:sz w:val="22"/>
        </w:rPr>
        <w:t>observations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externally</w:t>
      </w:r>
      <w:r>
        <w:rPr>
          <w:spacing w:val="-3"/>
          <w:sz w:val="22"/>
        </w:rPr>
        <w:t> </w:t>
      </w:r>
      <w:r>
        <w:rPr>
          <w:sz w:val="22"/>
        </w:rPr>
        <w:t>reported</w:t>
      </w:r>
      <w:r>
        <w:rPr>
          <w:spacing w:val="-3"/>
          <w:sz w:val="22"/>
        </w:rPr>
        <w:t> </w:t>
      </w:r>
      <w:r>
        <w:rPr>
          <w:sz w:val="22"/>
        </w:rPr>
        <w:t>numerical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evidence.</w:t>
      </w:r>
    </w:p>
    <w:p>
      <w:pPr>
        <w:pStyle w:val="ListParagraph"/>
        <w:numPr>
          <w:ilvl w:val="0"/>
          <w:numId w:val="3"/>
        </w:numPr>
        <w:tabs>
          <w:tab w:pos="539" w:val="left" w:leader="none"/>
        </w:tabs>
        <w:spacing w:line="240" w:lineRule="auto" w:before="102" w:after="0"/>
        <w:ind w:left="539" w:right="0" w:hanging="359"/>
        <w:jc w:val="left"/>
        <w:rPr>
          <w:sz w:val="22"/>
        </w:rPr>
      </w:pP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identify</w:t>
      </w:r>
      <w:r>
        <w:rPr>
          <w:spacing w:val="-2"/>
          <w:sz w:val="22"/>
        </w:rPr>
        <w:t> </w:t>
      </w:r>
      <w:r>
        <w:rPr>
          <w:sz w:val="22"/>
        </w:rPr>
        <w:t>limitations</w:t>
      </w:r>
      <w:r>
        <w:rPr>
          <w:spacing w:val="-2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prevent</w:t>
      </w:r>
      <w:r>
        <w:rPr>
          <w:spacing w:val="-2"/>
          <w:sz w:val="22"/>
        </w:rPr>
        <w:t> </w:t>
      </w:r>
      <w:r>
        <w:rPr>
          <w:sz w:val="22"/>
        </w:rPr>
        <w:t>direct</w:t>
      </w:r>
      <w:r>
        <w:rPr>
          <w:spacing w:val="-2"/>
          <w:sz w:val="22"/>
        </w:rPr>
        <w:t> </w:t>
      </w:r>
      <w:r>
        <w:rPr>
          <w:sz w:val="22"/>
        </w:rPr>
        <w:t>numerical</w:t>
      </w:r>
      <w:r>
        <w:rPr>
          <w:spacing w:val="-3"/>
          <w:sz w:val="22"/>
        </w:rPr>
        <w:t> </w:t>
      </w:r>
      <w:r>
        <w:rPr>
          <w:sz w:val="22"/>
        </w:rPr>
        <w:t>comparison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two</w:t>
      </w:r>
      <w:r>
        <w:rPr>
          <w:spacing w:val="-2"/>
          <w:sz w:val="22"/>
        </w:rPr>
        <w:t> </w:t>
      </w:r>
      <w:r>
        <w:rPr>
          <w:sz w:val="22"/>
        </w:rPr>
        <w:t>supplied</w:t>
      </w:r>
      <w:r>
        <w:rPr>
          <w:spacing w:val="-2"/>
          <w:sz w:val="22"/>
        </w:rPr>
        <w:t> maps.</w:t>
      </w:r>
    </w:p>
    <w:p>
      <w:pPr>
        <w:pStyle w:val="ListParagraph"/>
        <w:numPr>
          <w:ilvl w:val="0"/>
          <w:numId w:val="3"/>
        </w:numPr>
        <w:tabs>
          <w:tab w:pos="539" w:val="left" w:leader="none"/>
        </w:tabs>
        <w:spacing w:line="240" w:lineRule="auto" w:before="102" w:after="0"/>
        <w:ind w:left="539" w:right="0" w:hanging="359"/>
        <w:jc w:val="left"/>
        <w:rPr>
          <w:sz w:val="22"/>
        </w:rPr>
      </w:pP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provide</w:t>
      </w:r>
      <w:r>
        <w:rPr>
          <w:spacing w:val="-3"/>
          <w:sz w:val="22"/>
        </w:rPr>
        <w:t> </w:t>
      </w:r>
      <w:r>
        <w:rPr>
          <w:sz w:val="22"/>
        </w:rPr>
        <w:t>evidence-based</w:t>
      </w:r>
      <w:r>
        <w:rPr>
          <w:spacing w:val="-2"/>
          <w:sz w:val="22"/>
        </w:rPr>
        <w:t> </w:t>
      </w:r>
      <w:r>
        <w:rPr>
          <w:sz w:val="22"/>
        </w:rPr>
        <w:t>recommendations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future</w:t>
      </w:r>
      <w:r>
        <w:rPr>
          <w:spacing w:val="-3"/>
          <w:sz w:val="22"/>
        </w:rPr>
        <w:t> </w:t>
      </w:r>
      <w:r>
        <w:rPr>
          <w:sz w:val="22"/>
        </w:rPr>
        <w:t>GIS</w:t>
      </w:r>
      <w:r>
        <w:rPr>
          <w:spacing w:val="-3"/>
          <w:sz w:val="22"/>
        </w:rPr>
        <w:t> </w:t>
      </w:r>
      <w:r>
        <w:rPr>
          <w:sz w:val="22"/>
        </w:rPr>
        <w:t>flood-risk</w:t>
      </w:r>
      <w:r>
        <w:rPr>
          <w:spacing w:val="-2"/>
          <w:sz w:val="22"/>
        </w:rPr>
        <w:t> </w:t>
      </w:r>
      <w:r>
        <w:rPr>
          <w:sz w:val="22"/>
        </w:rPr>
        <w:t>mapping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validation.</w:t>
      </w:r>
    </w:p>
    <w:p>
      <w:pPr>
        <w:pStyle w:val="BodyText"/>
        <w:spacing w:before="48"/>
        <w:jc w:val="left"/>
      </w:pPr>
    </w:p>
    <w:p>
      <w:pPr>
        <w:pStyle w:val="Heading2"/>
        <w:numPr>
          <w:ilvl w:val="1"/>
          <w:numId w:val="2"/>
        </w:numPr>
        <w:tabs>
          <w:tab w:pos="419" w:val="left" w:leader="none"/>
        </w:tabs>
        <w:spacing w:line="240" w:lineRule="auto" w:before="0" w:after="0"/>
        <w:ind w:left="419" w:right="0" w:hanging="419"/>
        <w:jc w:val="left"/>
      </w:pPr>
      <w:r>
        <w:rPr/>
        <w:t>Scope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Limitations</w:t>
      </w:r>
    </w:p>
    <w:p>
      <w:pPr>
        <w:pStyle w:val="BodyText"/>
        <w:spacing w:line="276" w:lineRule="auto" w:before="49"/>
        <w:ind w:right="719"/>
      </w:pPr>
      <w:r>
        <w:rPr/>
        <w:t>The scope covers comparative interpretation of the two supplied district-level map</w:t>
      </w:r>
      <w:r>
        <w:rPr>
          <w:spacing w:val="-3"/>
        </w:rPr>
        <w:t> </w:t>
      </w:r>
      <w:r>
        <w:rPr/>
        <w:t>outputs,</w:t>
      </w:r>
      <w:r>
        <w:rPr>
          <w:spacing w:val="-3"/>
        </w:rPr>
        <w:t> </w:t>
      </w:r>
      <w:r>
        <w:rPr/>
        <w:t>supported</w:t>
      </w:r>
      <w:r>
        <w:rPr>
          <w:spacing w:val="-3"/>
        </w:rPr>
        <w:t> </w:t>
      </w:r>
      <w:r>
        <w:rPr/>
        <w:t>by</w:t>
      </w:r>
      <w:r>
        <w:rPr/>
        <w:t> published literature and contextual official information. The study does not attempt to reconstruct </w:t>
      </w:r>
      <w:r>
        <w:rPr/>
        <w:t>the</w:t>
      </w:r>
      <w:r>
        <w:rPr/>
        <w:t> original GIS models because the supplied PDFs contain map images but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underlying</w:t>
      </w:r>
      <w:r>
        <w:rPr>
          <w:spacing w:val="-2"/>
        </w:rPr>
        <w:t> </w:t>
      </w:r>
      <w:r>
        <w:rPr/>
        <w:t>raster</w:t>
      </w:r>
      <w:r>
        <w:rPr>
          <w:spacing w:val="-2"/>
        </w:rPr>
        <w:t> </w:t>
      </w:r>
      <w:r>
        <w:rPr/>
        <w:t>layers,</w:t>
      </w:r>
      <w:r>
        <w:rPr/>
        <w:t> attribute tables, factor weights, reclassification thresholds or processing metadata.</w:t>
      </w:r>
    </w:p>
    <w:p>
      <w:pPr>
        <w:pStyle w:val="BodyText"/>
        <w:spacing w:line="276" w:lineRule="auto"/>
        <w:ind w:right="719"/>
      </w:pPr>
      <w:r>
        <w:rPr/>
        <w:t>The most important limitation is therefore data comparability. The Hardoi map is labelled Flood </w:t>
      </w:r>
      <w:r>
        <w:rPr/>
        <w:t>Risk</w:t>
      </w:r>
      <w:r>
        <w:rPr/>
        <w:t> Analysis, while the Cachar map is labelled Flood Vulnerability Assessment.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terms</w:t>
      </w:r>
      <w:r>
        <w:rPr>
          <w:spacing w:val="-4"/>
        </w:rPr>
        <w:t> </w:t>
      </w:r>
      <w:r>
        <w:rPr/>
        <w:t>describe</w:t>
      </w:r>
      <w:r>
        <w:rPr>
          <w:spacing w:val="-4"/>
        </w:rPr>
        <w:t> </w:t>
      </w:r>
      <w:r>
        <w:rPr/>
        <w:t>dif</w:t>
      </w:r>
      <w:r>
        <w:rPr/>
        <w:t>ferent</w:t>
      </w:r>
      <w:r>
        <w:rPr/>
        <w:t> analytical</w:t>
      </w:r>
      <w:r>
        <w:rPr>
          <w:spacing w:val="-2"/>
        </w:rPr>
        <w:t> </w:t>
      </w:r>
      <w:r>
        <w:rPr/>
        <w:t>concepts.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addition,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maps</w:t>
      </w:r>
      <w:r>
        <w:rPr>
          <w:spacing w:val="-1"/>
        </w:rPr>
        <w:t> </w:t>
      </w:r>
      <w:r>
        <w:rPr/>
        <w:t>use</w:t>
      </w:r>
      <w:r>
        <w:rPr>
          <w:spacing w:val="-2"/>
        </w:rPr>
        <w:t> </w:t>
      </w:r>
      <w:r>
        <w:rPr/>
        <w:t>different</w:t>
      </w:r>
      <w:r>
        <w:rPr>
          <w:spacing w:val="-1"/>
        </w:rPr>
        <w:t> </w:t>
      </w:r>
      <w:r>
        <w:rPr/>
        <w:t>scale-bar</w:t>
      </w:r>
      <w:r>
        <w:rPr>
          <w:spacing w:val="-2"/>
        </w:rPr>
        <w:t> </w:t>
      </w:r>
      <w:r>
        <w:rPr/>
        <w:t>ranges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different</w:t>
      </w:r>
      <w:r>
        <w:rPr>
          <w:spacing w:val="-2"/>
        </w:rPr>
        <w:t> </w:t>
      </w:r>
      <w:r>
        <w:rPr/>
        <w:t>cartographic</w:t>
      </w:r>
      <w:r>
        <w:rPr>
          <w:spacing w:val="-1"/>
        </w:rPr>
        <w:t> </w:t>
      </w:r>
      <w:r>
        <w:rPr>
          <w:spacing w:val="-2"/>
        </w:rPr>
        <w:t>layouts.</w:t>
      </w:r>
    </w:p>
    <w:p>
      <w:pPr>
        <w:pStyle w:val="ListParagraph"/>
        <w:numPr>
          <w:ilvl w:val="0"/>
          <w:numId w:val="4"/>
        </w:numPr>
        <w:tabs>
          <w:tab w:pos="539" w:val="left" w:leader="none"/>
        </w:tabs>
        <w:spacing w:line="240" w:lineRule="auto" w:before="200" w:after="0"/>
        <w:ind w:left="539" w:right="0" w:hanging="359"/>
        <w:jc w:val="left"/>
        <w:rPr>
          <w:sz w:val="22"/>
        </w:rPr>
      </w:pPr>
      <w:r>
        <w:rPr>
          <w:sz w:val="22"/>
        </w:rPr>
        <w:t>No</w:t>
      </w:r>
      <w:r>
        <w:rPr>
          <w:spacing w:val="-1"/>
          <w:sz w:val="22"/>
        </w:rPr>
        <w:t> </w:t>
      </w:r>
      <w:r>
        <w:rPr>
          <w:sz w:val="22"/>
        </w:rPr>
        <w:t>pixel-level</w:t>
      </w:r>
      <w:r>
        <w:rPr>
          <w:spacing w:val="-1"/>
          <w:sz w:val="22"/>
        </w:rPr>
        <w:t> </w:t>
      </w:r>
      <w:r>
        <w:rPr>
          <w:sz w:val="22"/>
        </w:rPr>
        <w:t>class</w:t>
      </w:r>
      <w:r>
        <w:rPr>
          <w:spacing w:val="-1"/>
          <w:sz w:val="22"/>
        </w:rPr>
        <w:t> </w:t>
      </w:r>
      <w:r>
        <w:rPr>
          <w:sz w:val="22"/>
        </w:rPr>
        <w:t>areas</w:t>
      </w:r>
      <w:r>
        <w:rPr>
          <w:spacing w:val="-1"/>
          <w:sz w:val="22"/>
        </w:rPr>
        <w:t> </w:t>
      </w:r>
      <w:r>
        <w:rPr>
          <w:sz w:val="22"/>
        </w:rPr>
        <w:t>were</w:t>
      </w:r>
      <w:r>
        <w:rPr>
          <w:spacing w:val="-1"/>
          <w:sz w:val="22"/>
        </w:rPr>
        <w:t> </w:t>
      </w:r>
      <w:r>
        <w:rPr>
          <w:sz w:val="22"/>
        </w:rPr>
        <w:t>calculated</w:t>
      </w:r>
      <w:r>
        <w:rPr>
          <w:spacing w:val="-1"/>
          <w:sz w:val="22"/>
        </w:rPr>
        <w:t> </w:t>
      </w:r>
      <w:r>
        <w:rPr>
          <w:sz w:val="22"/>
        </w:rPr>
        <w:t>from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supplied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images.</w:t>
      </w:r>
    </w:p>
    <w:p>
      <w:pPr>
        <w:pStyle w:val="ListParagraph"/>
        <w:numPr>
          <w:ilvl w:val="0"/>
          <w:numId w:val="4"/>
        </w:numPr>
        <w:tabs>
          <w:tab w:pos="539" w:val="left" w:leader="none"/>
        </w:tabs>
        <w:spacing w:line="240" w:lineRule="auto" w:before="101" w:after="0"/>
        <w:ind w:left="539" w:right="0" w:hanging="359"/>
        <w:jc w:val="left"/>
        <w:rPr>
          <w:sz w:val="22"/>
        </w:rPr>
      </w:pPr>
      <w:r>
        <w:rPr>
          <w:sz w:val="22"/>
        </w:rPr>
        <w:t>No</w:t>
      </w:r>
      <w:r>
        <w:rPr>
          <w:spacing w:val="-1"/>
          <w:sz w:val="22"/>
        </w:rPr>
        <w:t> </w:t>
      </w:r>
      <w:r>
        <w:rPr>
          <w:sz w:val="22"/>
        </w:rPr>
        <w:t>unsupported</w:t>
      </w:r>
      <w:r>
        <w:rPr>
          <w:spacing w:val="-1"/>
          <w:sz w:val="22"/>
        </w:rPr>
        <w:t> </w:t>
      </w:r>
      <w:r>
        <w:rPr>
          <w:sz w:val="22"/>
        </w:rPr>
        <w:t>percentage</w:t>
      </w:r>
      <w:r>
        <w:rPr>
          <w:spacing w:val="-1"/>
          <w:sz w:val="22"/>
        </w:rPr>
        <w:t> </w:t>
      </w:r>
      <w:r>
        <w:rPr>
          <w:sz w:val="22"/>
        </w:rPr>
        <w:t>was</w:t>
      </w:r>
      <w:r>
        <w:rPr>
          <w:spacing w:val="-1"/>
          <w:sz w:val="22"/>
        </w:rPr>
        <w:t> </w:t>
      </w:r>
      <w:r>
        <w:rPr>
          <w:sz w:val="22"/>
        </w:rPr>
        <w:t>assigned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Hardoi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map.</w:t>
      </w:r>
    </w:p>
    <w:p>
      <w:pPr>
        <w:pStyle w:val="ListParagraph"/>
        <w:numPr>
          <w:ilvl w:val="0"/>
          <w:numId w:val="4"/>
        </w:numPr>
        <w:tabs>
          <w:tab w:pos="539" w:val="left" w:leader="none"/>
        </w:tabs>
        <w:spacing w:line="240" w:lineRule="auto" w:before="102" w:after="0"/>
        <w:ind w:left="539" w:right="0" w:hanging="359"/>
        <w:jc w:val="left"/>
        <w:rPr>
          <w:sz w:val="22"/>
        </w:rPr>
      </w:pPr>
      <w:r>
        <w:rPr>
          <w:sz w:val="22"/>
        </w:rPr>
        <w:t>Published</w:t>
      </w:r>
      <w:r>
        <w:rPr>
          <w:spacing w:val="-1"/>
          <w:sz w:val="22"/>
        </w:rPr>
        <w:t> </w:t>
      </w:r>
      <w:r>
        <w:rPr>
          <w:sz w:val="22"/>
        </w:rPr>
        <w:t>numerical</w:t>
      </w:r>
      <w:r>
        <w:rPr>
          <w:spacing w:val="-1"/>
          <w:sz w:val="22"/>
        </w:rPr>
        <w:t> </w:t>
      </w:r>
      <w:r>
        <w:rPr>
          <w:sz w:val="22"/>
        </w:rPr>
        <w:t>values</w:t>
      </w:r>
      <w:r>
        <w:rPr>
          <w:spacing w:val="-1"/>
          <w:sz w:val="22"/>
        </w:rPr>
        <w:t> </w:t>
      </w:r>
      <w:r>
        <w:rPr>
          <w:sz w:val="22"/>
        </w:rPr>
        <w:t>are</w:t>
      </w:r>
      <w:r>
        <w:rPr>
          <w:spacing w:val="-1"/>
          <w:sz w:val="22"/>
        </w:rPr>
        <w:t> </w:t>
      </w:r>
      <w:r>
        <w:rPr>
          <w:sz w:val="22"/>
        </w:rPr>
        <w:t>clearly</w:t>
      </w:r>
      <w:r>
        <w:rPr>
          <w:spacing w:val="-1"/>
          <w:sz w:val="22"/>
        </w:rPr>
        <w:t> </w:t>
      </w:r>
      <w:r>
        <w:rPr>
          <w:sz w:val="22"/>
        </w:rPr>
        <w:t>separated</w:t>
      </w:r>
      <w:r>
        <w:rPr>
          <w:spacing w:val="-1"/>
          <w:sz w:val="22"/>
        </w:rPr>
        <w:t> </w:t>
      </w:r>
      <w:r>
        <w:rPr>
          <w:sz w:val="22"/>
        </w:rPr>
        <w:t>from</w:t>
      </w:r>
      <w:r>
        <w:rPr>
          <w:spacing w:val="-1"/>
          <w:sz w:val="22"/>
        </w:rPr>
        <w:t> </w:t>
      </w:r>
      <w:r>
        <w:rPr>
          <w:sz w:val="22"/>
        </w:rPr>
        <w:t>visual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observations.</w:t>
      </w:r>
    </w:p>
    <w:p>
      <w:pPr>
        <w:pStyle w:val="ListParagraph"/>
        <w:numPr>
          <w:ilvl w:val="0"/>
          <w:numId w:val="4"/>
        </w:numPr>
        <w:tabs>
          <w:tab w:pos="539" w:val="left" w:leader="none"/>
        </w:tabs>
        <w:spacing w:line="240" w:lineRule="auto" w:before="101" w:after="0"/>
        <w:ind w:left="539" w:right="0" w:hanging="359"/>
        <w:jc w:val="left"/>
        <w:rPr>
          <w:sz w:val="22"/>
        </w:rPr>
      </w:pPr>
      <w:r>
        <w:rPr>
          <w:sz w:val="22"/>
        </w:rPr>
        <w:t>Original</w:t>
      </w:r>
      <w:r>
        <w:rPr>
          <w:spacing w:val="-1"/>
          <w:sz w:val="22"/>
        </w:rPr>
        <w:t> </w:t>
      </w:r>
      <w:r>
        <w:rPr>
          <w:sz w:val="22"/>
        </w:rPr>
        <w:t>GIS</w:t>
      </w:r>
      <w:r>
        <w:rPr>
          <w:spacing w:val="-1"/>
          <w:sz w:val="22"/>
        </w:rPr>
        <w:t> </w:t>
      </w:r>
      <w:r>
        <w:rPr>
          <w:sz w:val="22"/>
        </w:rPr>
        <w:t>layers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model</w:t>
      </w:r>
      <w:r>
        <w:rPr>
          <w:spacing w:val="-1"/>
          <w:sz w:val="22"/>
        </w:rPr>
        <w:t> </w:t>
      </w:r>
      <w:r>
        <w:rPr>
          <w:sz w:val="22"/>
        </w:rPr>
        <w:t>weights</w:t>
      </w:r>
      <w:r>
        <w:rPr>
          <w:spacing w:val="-1"/>
          <w:sz w:val="22"/>
        </w:rPr>
        <w:t> </w:t>
      </w:r>
      <w:r>
        <w:rPr>
          <w:sz w:val="22"/>
        </w:rPr>
        <w:t>were</w:t>
      </w:r>
      <w:r>
        <w:rPr>
          <w:spacing w:val="-1"/>
          <w:sz w:val="22"/>
        </w:rPr>
        <w:t> </w:t>
      </w:r>
      <w:r>
        <w:rPr>
          <w:sz w:val="22"/>
        </w:rPr>
        <w:t>not</w:t>
      </w:r>
      <w:r>
        <w:rPr>
          <w:spacing w:val="-1"/>
          <w:sz w:val="22"/>
        </w:rPr>
        <w:t> </w:t>
      </w:r>
      <w:r>
        <w:rPr>
          <w:sz w:val="22"/>
        </w:rPr>
        <w:t>available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supplied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PDFs.</w:t>
      </w:r>
    </w:p>
    <w:p>
      <w:pPr>
        <w:pStyle w:val="ListParagraph"/>
        <w:numPr>
          <w:ilvl w:val="0"/>
          <w:numId w:val="4"/>
        </w:numPr>
        <w:tabs>
          <w:tab w:pos="539" w:val="left" w:leader="none"/>
        </w:tabs>
        <w:spacing w:line="240" w:lineRule="auto" w:before="102" w:after="0"/>
        <w:ind w:left="539" w:right="0" w:hanging="359"/>
        <w:jc w:val="left"/>
        <w:rPr>
          <w:sz w:val="22"/>
        </w:rPr>
      </w:pPr>
      <w:r>
        <w:rPr>
          <w:sz w:val="22"/>
        </w:rPr>
        <w:t>No</w:t>
      </w:r>
      <w:r>
        <w:rPr>
          <w:spacing w:val="-1"/>
          <w:sz w:val="22"/>
        </w:rPr>
        <w:t> </w:t>
      </w:r>
      <w:r>
        <w:rPr>
          <w:sz w:val="22"/>
        </w:rPr>
        <w:t>independent</w:t>
      </w:r>
      <w:r>
        <w:rPr>
          <w:spacing w:val="-1"/>
          <w:sz w:val="22"/>
        </w:rPr>
        <w:t> </w:t>
      </w:r>
      <w:r>
        <w:rPr>
          <w:sz w:val="22"/>
        </w:rPr>
        <w:t>accuracy</w:t>
      </w:r>
      <w:r>
        <w:rPr>
          <w:spacing w:val="-1"/>
          <w:sz w:val="22"/>
        </w:rPr>
        <w:t> </w:t>
      </w:r>
      <w:r>
        <w:rPr>
          <w:sz w:val="22"/>
        </w:rPr>
        <w:t>assessment</w:t>
      </w:r>
      <w:r>
        <w:rPr>
          <w:spacing w:val="-1"/>
          <w:sz w:val="22"/>
        </w:rPr>
        <w:t> </w:t>
      </w:r>
      <w:r>
        <w:rPr>
          <w:sz w:val="22"/>
        </w:rPr>
        <w:t>was</w:t>
      </w:r>
      <w:r>
        <w:rPr>
          <w:spacing w:val="-1"/>
          <w:sz w:val="22"/>
        </w:rPr>
        <w:t> </w:t>
      </w:r>
      <w:r>
        <w:rPr>
          <w:sz w:val="22"/>
        </w:rPr>
        <w:t>performed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supplied</w:t>
      </w:r>
      <w:r>
        <w:rPr>
          <w:spacing w:val="-1"/>
          <w:sz w:val="22"/>
        </w:rPr>
        <w:t> </w:t>
      </w:r>
      <w:r>
        <w:rPr>
          <w:sz w:val="22"/>
        </w:rPr>
        <w:t>map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outputs.</w:t>
      </w:r>
    </w:p>
    <w:p>
      <w:pPr>
        <w:pStyle w:val="ListParagraph"/>
        <w:numPr>
          <w:ilvl w:val="0"/>
          <w:numId w:val="4"/>
        </w:numPr>
        <w:tabs>
          <w:tab w:pos="540" w:val="left" w:leader="none"/>
        </w:tabs>
        <w:spacing w:line="336" w:lineRule="auto" w:before="101" w:after="0"/>
        <w:ind w:left="540" w:right="718" w:hanging="360"/>
        <w:jc w:val="left"/>
        <w:rPr>
          <w:sz w:val="22"/>
        </w:rPr>
      </w:pPr>
      <w:r>
        <w:rPr>
          <w:sz w:val="22"/>
        </w:rPr>
        <w:t>Temporal</w:t>
      </w:r>
      <w:r>
        <w:rPr>
          <w:spacing w:val="40"/>
          <w:sz w:val="22"/>
        </w:rPr>
        <w:t> </w:t>
      </w:r>
      <w:r>
        <w:rPr>
          <w:sz w:val="22"/>
        </w:rPr>
        <w:t>comparability</w:t>
      </w:r>
      <w:r>
        <w:rPr>
          <w:spacing w:val="40"/>
          <w:sz w:val="22"/>
        </w:rPr>
        <w:t> </w:t>
      </w:r>
      <w:r>
        <w:rPr>
          <w:sz w:val="22"/>
        </w:rPr>
        <w:t>is</w:t>
      </w:r>
      <w:r>
        <w:rPr>
          <w:spacing w:val="40"/>
          <w:sz w:val="22"/>
        </w:rPr>
        <w:t> </w:t>
      </w:r>
      <w:r>
        <w:rPr>
          <w:sz w:val="22"/>
        </w:rPr>
        <w:t>limited</w:t>
      </w:r>
      <w:r>
        <w:rPr>
          <w:spacing w:val="40"/>
          <w:sz w:val="22"/>
        </w:rPr>
        <w:t> </w:t>
      </w:r>
      <w:r>
        <w:rPr>
          <w:sz w:val="22"/>
        </w:rPr>
        <w:t>because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Hardoi</w:t>
      </w:r>
      <w:r>
        <w:rPr>
          <w:spacing w:val="40"/>
          <w:sz w:val="22"/>
        </w:rPr>
        <w:t> </w:t>
      </w:r>
      <w:r>
        <w:rPr>
          <w:sz w:val="22"/>
        </w:rPr>
        <w:t>map</w:t>
      </w:r>
      <w:r>
        <w:rPr>
          <w:spacing w:val="40"/>
          <w:sz w:val="22"/>
        </w:rPr>
        <w:t> </w:t>
      </w:r>
      <w:r>
        <w:rPr>
          <w:sz w:val="22"/>
        </w:rPr>
        <w:t>is</w:t>
      </w:r>
      <w:r>
        <w:rPr>
          <w:spacing w:val="40"/>
          <w:sz w:val="22"/>
        </w:rPr>
        <w:t> </w:t>
      </w:r>
      <w:r>
        <w:rPr>
          <w:sz w:val="22"/>
        </w:rPr>
        <w:t>explicitly</w:t>
      </w:r>
      <w:r>
        <w:rPr>
          <w:spacing w:val="40"/>
          <w:sz w:val="22"/>
        </w:rPr>
        <w:t> </w:t>
      </w:r>
      <w:r>
        <w:rPr>
          <w:sz w:val="22"/>
        </w:rPr>
        <w:t>dated</w:t>
      </w:r>
      <w:r>
        <w:rPr>
          <w:spacing w:val="40"/>
          <w:sz w:val="22"/>
        </w:rPr>
        <w:t> </w:t>
      </w:r>
      <w:r>
        <w:rPr>
          <w:sz w:val="22"/>
        </w:rPr>
        <w:t>2025,</w:t>
      </w:r>
      <w:r>
        <w:rPr>
          <w:spacing w:val="40"/>
          <w:sz w:val="22"/>
        </w:rPr>
        <w:t> </w:t>
      </w:r>
      <w:r>
        <w:rPr>
          <w:sz w:val="22"/>
        </w:rPr>
        <w:t>while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z w:val="22"/>
        </w:rPr>
        <w:t> Cachar map does not display a comparable map-production year.</w:t>
      </w:r>
    </w:p>
    <w:p>
      <w:pPr>
        <w:pStyle w:val="ListParagraph"/>
        <w:numPr>
          <w:ilvl w:val="0"/>
          <w:numId w:val="4"/>
        </w:numPr>
        <w:tabs>
          <w:tab w:pos="539" w:val="left" w:leader="none"/>
        </w:tabs>
        <w:spacing w:line="240" w:lineRule="auto" w:before="1" w:after="0"/>
        <w:ind w:left="539" w:right="0" w:hanging="359"/>
        <w:jc w:val="left"/>
        <w:rPr>
          <w:sz w:val="22"/>
        </w:rPr>
      </w:pPr>
      <w:r>
        <w:rPr>
          <w:sz w:val="22"/>
        </w:rPr>
        <w:t>Colour</w:t>
      </w:r>
      <w:r>
        <w:rPr>
          <w:spacing w:val="-1"/>
          <w:sz w:val="22"/>
        </w:rPr>
        <w:t> </w:t>
      </w:r>
      <w:r>
        <w:rPr>
          <w:sz w:val="22"/>
        </w:rPr>
        <w:t>similarity</w:t>
      </w:r>
      <w:r>
        <w:rPr>
          <w:spacing w:val="-1"/>
          <w:sz w:val="22"/>
        </w:rPr>
        <w:t> </w:t>
      </w:r>
      <w:r>
        <w:rPr>
          <w:sz w:val="22"/>
        </w:rPr>
        <w:t>does</w:t>
      </w:r>
      <w:r>
        <w:rPr>
          <w:spacing w:val="-1"/>
          <w:sz w:val="22"/>
        </w:rPr>
        <w:t> </w:t>
      </w:r>
      <w:r>
        <w:rPr>
          <w:sz w:val="22"/>
        </w:rPr>
        <w:t>not</w:t>
      </w:r>
      <w:r>
        <w:rPr>
          <w:spacing w:val="-1"/>
          <w:sz w:val="22"/>
        </w:rPr>
        <w:t> </w:t>
      </w:r>
      <w:r>
        <w:rPr>
          <w:sz w:val="22"/>
        </w:rPr>
        <w:t>prove</w:t>
      </w:r>
      <w:r>
        <w:rPr>
          <w:spacing w:val="-1"/>
          <w:sz w:val="22"/>
        </w:rPr>
        <w:t> </w:t>
      </w:r>
      <w:r>
        <w:rPr>
          <w:sz w:val="22"/>
        </w:rPr>
        <w:t>that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same</w:t>
      </w:r>
      <w:r>
        <w:rPr>
          <w:spacing w:val="-1"/>
          <w:sz w:val="22"/>
        </w:rPr>
        <w:t> </w:t>
      </w:r>
      <w:r>
        <w:rPr>
          <w:sz w:val="22"/>
        </w:rPr>
        <w:t>numerical</w:t>
      </w:r>
      <w:r>
        <w:rPr>
          <w:spacing w:val="-1"/>
          <w:sz w:val="22"/>
        </w:rPr>
        <w:t> </w:t>
      </w:r>
      <w:r>
        <w:rPr>
          <w:sz w:val="22"/>
        </w:rPr>
        <w:t>susceptibility</w:t>
      </w:r>
      <w:r>
        <w:rPr>
          <w:spacing w:val="-1"/>
          <w:sz w:val="22"/>
        </w:rPr>
        <w:t> </w:t>
      </w:r>
      <w:r>
        <w:rPr>
          <w:sz w:val="22"/>
        </w:rPr>
        <w:t>ranges</w:t>
      </w:r>
      <w:r>
        <w:rPr>
          <w:spacing w:val="-1"/>
          <w:sz w:val="22"/>
        </w:rPr>
        <w:t> </w:t>
      </w:r>
      <w:r>
        <w:rPr>
          <w:sz w:val="22"/>
        </w:rPr>
        <w:t>were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used.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727" w:footer="0" w:top="1340" w:bottom="280" w:left="1440" w:right="720"/>
        </w:sectPr>
      </w:pPr>
    </w:p>
    <w:p>
      <w:pPr>
        <w:pStyle w:val="Heading2"/>
        <w:numPr>
          <w:ilvl w:val="1"/>
          <w:numId w:val="2"/>
        </w:numPr>
        <w:tabs>
          <w:tab w:pos="419" w:val="left" w:leader="none"/>
        </w:tabs>
        <w:spacing w:line="240" w:lineRule="auto" w:before="80" w:after="0"/>
        <w:ind w:left="419" w:right="0" w:hanging="419"/>
        <w:jc w:val="both"/>
      </w:pPr>
      <w:r>
        <w:rPr/>
        <w:t>Study</w:t>
      </w:r>
      <w:r>
        <w:rPr>
          <w:spacing w:val="-3"/>
        </w:rPr>
        <w:t> </w:t>
      </w:r>
      <w:r>
        <w:rPr>
          <w:spacing w:val="-4"/>
        </w:rPr>
        <w:t>Area</w:t>
      </w:r>
    </w:p>
    <w:p>
      <w:pPr>
        <w:pStyle w:val="Heading4"/>
        <w:numPr>
          <w:ilvl w:val="2"/>
          <w:numId w:val="2"/>
        </w:numPr>
        <w:tabs>
          <w:tab w:pos="540" w:val="left" w:leader="none"/>
        </w:tabs>
        <w:spacing w:line="240" w:lineRule="auto" w:before="129" w:after="0"/>
        <w:ind w:left="540" w:right="0" w:hanging="540"/>
        <w:jc w:val="both"/>
      </w:pPr>
      <w:r>
        <w:rPr/>
        <w:t>Hardoi </w:t>
      </w:r>
      <w:r>
        <w:rPr>
          <w:spacing w:val="-2"/>
        </w:rPr>
        <w:t>District</w:t>
      </w:r>
    </w:p>
    <w:p>
      <w:pPr>
        <w:pStyle w:val="BodyText"/>
        <w:spacing w:line="276" w:lineRule="auto" w:before="121"/>
        <w:ind w:right="720"/>
      </w:pPr>
      <w:r>
        <w:rPr/>
        <w:t>The supplied Hardoi map represents the district-level flood-risk pattern in Uttar Pradesh and is </w:t>
      </w:r>
      <w:r>
        <w:rPr/>
        <w:t>titled</w:t>
      </w:r>
      <w:r>
        <w:rPr/>
        <w:t> “Flood Risk Analysis Hardoi 2025”. The map shows a compact district boundary and a five-class </w:t>
      </w:r>
      <w:r>
        <w:rPr/>
        <w:t>risk</w:t>
      </w:r>
      <w:r>
        <w:rPr/>
        <w:t> legend. The spatial pattern includes numerous high-intensity red areas and elongated structures </w:t>
      </w:r>
      <w:r>
        <w:rPr/>
        <w:t>that</w:t>
      </w:r>
      <w:r>
        <w:rPr>
          <w:spacing w:val="40"/>
        </w:rPr>
        <w:t> </w:t>
      </w:r>
      <w:r>
        <w:rPr/>
        <w:t>appear aligned with drainage or river-related corridors. Lower-risk green and blue areas occur in</w:t>
      </w:r>
      <w:r>
        <w:rPr>
          <w:spacing w:val="-3"/>
        </w:rPr>
        <w:t> </w:t>
      </w:r>
      <w:r>
        <w:rPr/>
        <w:t>several</w:t>
      </w:r>
      <w:r>
        <w:rPr/>
        <w:t> peripheral and interstitial zones.</w:t>
      </w:r>
    </w:p>
    <w:p>
      <w:pPr>
        <w:pStyle w:val="BodyText"/>
        <w:spacing w:line="276" w:lineRule="auto"/>
        <w:ind w:right="719"/>
      </w:pPr>
      <w:r>
        <w:rPr/>
        <w:t>Official flood-mapping records also demonstrate that Hardoi has experienced mapped inundation </w:t>
      </w:r>
      <w:r>
        <w:rPr/>
        <w:t>during</w:t>
      </w:r>
      <w:r>
        <w:rPr/>
        <w:t> recent flood events. A National Remote</w:t>
      </w:r>
      <w:r>
        <w:rPr>
          <w:spacing w:val="-3"/>
        </w:rPr>
        <w:t> </w:t>
      </w:r>
      <w:r>
        <w:rPr/>
        <w:t>Sensing</w:t>
      </w:r>
      <w:r>
        <w:rPr>
          <w:spacing w:val="-3"/>
        </w:rPr>
        <w:t> </w:t>
      </w:r>
      <w:r>
        <w:rPr/>
        <w:t>Centre</w:t>
      </w:r>
      <w:r>
        <w:rPr>
          <w:spacing w:val="-3"/>
        </w:rPr>
        <w:t> </w:t>
      </w:r>
      <w:r>
        <w:rPr/>
        <w:t>record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July</w:t>
      </w:r>
      <w:r>
        <w:rPr>
          <w:spacing w:val="-3"/>
        </w:rPr>
        <w:t> </w:t>
      </w:r>
      <w:r>
        <w:rPr/>
        <w:t>2024</w:t>
      </w:r>
      <w:r>
        <w:rPr>
          <w:spacing w:val="-3"/>
        </w:rPr>
        <w:t> </w:t>
      </w:r>
      <w:r>
        <w:rPr/>
        <w:t>includes</w:t>
      </w:r>
      <w:r>
        <w:rPr>
          <w:spacing w:val="-3"/>
        </w:rPr>
        <w:t> </w:t>
      </w:r>
      <w:r>
        <w:rPr/>
        <w:t>parts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Hardoi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/>
        <w:t> satellite-based flood-inundation product. An Uttar Pradesh disaster-management report also </w:t>
      </w:r>
      <w:r>
        <w:rPr/>
        <w:t>classifie</w:t>
      </w:r>
      <w:r>
        <w:rPr/>
        <w:t>s</w:t>
      </w:r>
      <w:r>
        <w:rPr/>
        <w:t> Hardoi as a flood-sensitive district. These sources provide contextual support for treating the </w:t>
      </w:r>
      <w:r>
        <w:rPr/>
        <w:t>supplied</w:t>
      </w:r>
      <w:r>
        <w:rPr/>
        <w:t> Hardoi map as a meaningful disaster-management output, although they do not validate the exact </w:t>
      </w:r>
      <w:r>
        <w:rPr/>
        <w:t>pixel</w:t>
      </w:r>
      <w:r>
        <w:rPr/>
        <w:t> pattern of the supplied map.</w:t>
      </w:r>
    </w:p>
    <w:p>
      <w:pPr>
        <w:pStyle w:val="Heading4"/>
        <w:numPr>
          <w:ilvl w:val="2"/>
          <w:numId w:val="2"/>
        </w:numPr>
        <w:tabs>
          <w:tab w:pos="540" w:val="left" w:leader="none"/>
        </w:tabs>
        <w:spacing w:line="240" w:lineRule="auto" w:before="200" w:after="0"/>
        <w:ind w:left="540" w:right="0" w:hanging="540"/>
        <w:jc w:val="both"/>
      </w:pPr>
      <w:r>
        <w:rPr/>
        <w:t>Cachar </w:t>
      </w:r>
      <w:r>
        <w:rPr>
          <w:spacing w:val="-2"/>
        </w:rPr>
        <w:t>District</w:t>
      </w:r>
    </w:p>
    <w:p>
      <w:pPr>
        <w:pStyle w:val="BodyText"/>
        <w:spacing w:line="276" w:lineRule="auto" w:before="41"/>
        <w:ind w:right="719"/>
      </w:pPr>
      <w:r>
        <w:rPr/>
        <w:t>The supplied Cachar map represents Cachar District in Assam and is titled “GIS-Based </w:t>
      </w:r>
      <w:r>
        <w:rPr/>
        <w:t>Flood</w:t>
      </w:r>
      <w:r>
        <w:rPr/>
        <w:t> Vulnerability Assessment of Cachar District, Assam”. The map includes a district boundary, </w:t>
      </w:r>
      <w:r>
        <w:rPr/>
        <w:t>five</w:t>
      </w:r>
      <w:r>
        <w:rPr/>
        <w:t> vulnerability</w:t>
      </w:r>
      <w:r>
        <w:rPr>
          <w:spacing w:val="-1"/>
        </w:rPr>
        <w:t> </w:t>
      </w:r>
      <w:r>
        <w:rPr/>
        <w:t>classes,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north-oriented</w:t>
      </w:r>
      <w:r>
        <w:rPr>
          <w:spacing w:val="-1"/>
        </w:rPr>
        <w:t> </w:t>
      </w:r>
      <w:r>
        <w:rPr/>
        <w:t>compass</w:t>
      </w:r>
      <w:r>
        <w:rPr>
          <w:spacing w:val="-1"/>
        </w:rPr>
        <w:t> </w:t>
      </w:r>
      <w:r>
        <w:rPr/>
        <w:t>symbol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scale</w:t>
      </w:r>
      <w:r>
        <w:rPr>
          <w:spacing w:val="-1"/>
        </w:rPr>
        <w:t> </w:t>
      </w:r>
      <w:r>
        <w:rPr/>
        <w:t>bar</w:t>
      </w:r>
      <w:r>
        <w:rPr>
          <w:spacing w:val="-1"/>
        </w:rPr>
        <w:t> </w:t>
      </w:r>
      <w:r>
        <w:rPr/>
        <w:t>extending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approximately</w:t>
      </w:r>
      <w:r>
        <w:rPr>
          <w:spacing w:val="-1"/>
        </w:rPr>
        <w:t> </w:t>
      </w:r>
      <w:r>
        <w:rPr/>
        <w:t>34</w:t>
      </w:r>
      <w:r>
        <w:rPr>
          <w:spacing w:val="-1"/>
        </w:rPr>
        <w:t> </w:t>
      </w:r>
      <w:r>
        <w:rPr/>
        <w:t>km.</w:t>
      </w:r>
    </w:p>
    <w:p>
      <w:pPr>
        <w:pStyle w:val="BodyText"/>
        <w:spacing w:line="276" w:lineRule="auto"/>
        <w:ind w:right="722"/>
      </w:pPr>
      <w:r>
        <w:rPr/>
        <w:t>The published Cachar study describes the district as a recurring flood-affected area</w:t>
      </w:r>
      <w:r>
        <w:rPr>
          <w:spacing w:val="-3"/>
        </w:rPr>
        <w:t> </w:t>
      </w:r>
      <w:r>
        <w:rPr/>
        <w:t>drained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Barak</w:t>
      </w:r>
      <w:r>
        <w:rPr/>
        <w:t> River and identifies ten factors used for GIS-AHP susceptibility assessment. The study reported </w:t>
      </w:r>
      <w:r>
        <w:rPr/>
        <w:t>five</w:t>
      </w:r>
      <w:r>
        <w:rPr/>
        <w:t> susceptibility zones and subsequently examined population density to understand vulnerability. [1]</w:t>
      </w:r>
    </w:p>
    <w:p>
      <w:pPr>
        <w:pStyle w:val="BodyText"/>
        <w:spacing w:line="276" w:lineRule="auto"/>
        <w:ind w:right="721"/>
      </w:pPr>
      <w:r>
        <w:rPr/>
        <w:t>Visually, the supplied map shows lower vulnerability in parts of the northern and peripheral </w:t>
      </w:r>
      <w:r>
        <w:rPr/>
        <w:t>landscape,</w:t>
      </w:r>
      <w:r>
        <w:rPr/>
        <w:t> while orange and red categories are widespread across central and eastern portions. Strong Very </w:t>
      </w:r>
      <w:r>
        <w:rPr/>
        <w:t>High</w:t>
      </w:r>
      <w:r>
        <w:rPr/>
        <w:t> clusters appear in the central and southern portions. The pattern therefore contains both broad </w:t>
      </w:r>
      <w:r>
        <w:rPr/>
        <w:t>transition</w:t>
      </w:r>
      <w:r>
        <w:rPr/>
        <w:t> zones and localized high-intensity clusters.</w:t>
      </w:r>
    </w:p>
    <w:p>
      <w:pPr>
        <w:pStyle w:val="BodyText"/>
        <w:spacing w:after="0" w:line="276" w:lineRule="auto"/>
        <w:sectPr>
          <w:pgSz w:w="12240" w:h="15840"/>
          <w:pgMar w:header="727" w:footer="0" w:top="1340" w:bottom="280" w:left="1440" w:right="720"/>
        </w:sectPr>
      </w:pPr>
    </w:p>
    <w:p>
      <w:pPr>
        <w:pStyle w:val="Heading2"/>
        <w:numPr>
          <w:ilvl w:val="1"/>
          <w:numId w:val="2"/>
        </w:numPr>
        <w:tabs>
          <w:tab w:pos="419" w:val="left" w:leader="none"/>
        </w:tabs>
        <w:spacing w:line="240" w:lineRule="auto" w:before="80" w:after="0"/>
        <w:ind w:left="419" w:right="0" w:hanging="419"/>
        <w:jc w:val="left"/>
      </w:pPr>
      <w:r>
        <w:rPr/>
        <w:t>Data</w:t>
      </w:r>
      <w:r>
        <w:rPr>
          <w:spacing w:val="-1"/>
        </w:rPr>
        <w:t> </w:t>
      </w:r>
      <w:r>
        <w:rPr>
          <w:spacing w:val="-2"/>
        </w:rPr>
        <w:t>Sources</w:t>
      </w:r>
    </w:p>
    <w:p>
      <w:pPr>
        <w:pStyle w:val="BodyText"/>
        <w:spacing w:before="18"/>
        <w:jc w:val="left"/>
        <w:rPr>
          <w:b/>
          <w:sz w:val="20"/>
        </w:rPr>
      </w:pPr>
    </w:p>
    <w:tbl>
      <w:tblPr>
        <w:tblW w:w="0" w:type="auto"/>
        <w:jc w:val="left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0"/>
        <w:gridCol w:w="1026"/>
        <w:gridCol w:w="893"/>
        <w:gridCol w:w="1037"/>
        <w:gridCol w:w="2579"/>
        <w:gridCol w:w="378"/>
      </w:tblGrid>
      <w:tr>
        <w:trPr>
          <w:trHeight w:val="375" w:hRule="atLeast"/>
        </w:trPr>
        <w:tc>
          <w:tcPr>
            <w:tcW w:w="297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Data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2956" w:type="dxa"/>
            <w:gridSpan w:val="3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Data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Type</w:t>
            </w:r>
          </w:p>
        </w:tc>
        <w:tc>
          <w:tcPr>
            <w:tcW w:w="2957" w:type="dxa"/>
            <w:gridSpan w:val="2"/>
          </w:tcPr>
          <w:p>
            <w:pPr>
              <w:pStyle w:val="TableParagraph"/>
              <w:ind w:left="96"/>
              <w:rPr>
                <w:b/>
                <w:sz w:val="22"/>
              </w:rPr>
            </w:pPr>
            <w:r>
              <w:rPr>
                <w:b/>
                <w:sz w:val="22"/>
              </w:rPr>
              <w:t>Data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Source</w:t>
            </w:r>
          </w:p>
        </w:tc>
      </w:tr>
      <w:tr>
        <w:trPr>
          <w:trHeight w:val="735" w:hRule="atLeast"/>
        </w:trPr>
        <w:tc>
          <w:tcPr>
            <w:tcW w:w="297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Hardoi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flood-risk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map,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2956" w:type="dxa"/>
            <w:gridSpan w:val="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Raster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map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PDF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image</w:t>
            </w:r>
          </w:p>
        </w:tc>
        <w:tc>
          <w:tcPr>
            <w:tcW w:w="2957" w:type="dxa"/>
            <w:gridSpan w:val="2"/>
          </w:tcPr>
          <w:p>
            <w:pPr>
              <w:pStyle w:val="TableParagraph"/>
              <w:ind w:left="96"/>
              <w:rPr>
                <w:sz w:val="22"/>
              </w:rPr>
            </w:pPr>
            <w:r>
              <w:rPr>
                <w:sz w:val="22"/>
              </w:rPr>
              <w:t>Supplied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project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map</w:t>
            </w:r>
          </w:p>
        </w:tc>
      </w:tr>
      <w:tr>
        <w:trPr>
          <w:trHeight w:val="735" w:hRule="atLeast"/>
        </w:trPr>
        <w:tc>
          <w:tcPr>
            <w:tcW w:w="2970" w:type="dxa"/>
          </w:tcPr>
          <w:p>
            <w:pPr>
              <w:pStyle w:val="TableParagraph"/>
              <w:tabs>
                <w:tab w:pos="1195" w:val="left" w:leader="none"/>
              </w:tabs>
              <w:spacing w:line="276" w:lineRule="auto"/>
              <w:ind w:right="96"/>
              <w:rPr>
                <w:sz w:val="22"/>
              </w:rPr>
            </w:pPr>
            <w:r>
              <w:rPr>
                <w:spacing w:val="-2"/>
                <w:sz w:val="22"/>
              </w:rPr>
              <w:t>Cachar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flood-</w:t>
            </w:r>
            <w:r>
              <w:rPr>
                <w:spacing w:val="-2"/>
                <w:sz w:val="22"/>
              </w:rPr>
              <w:t>vulnerabilit</w:t>
            </w:r>
            <w:r>
              <w:rPr>
                <w:spacing w:val="-2"/>
                <w:sz w:val="22"/>
              </w:rPr>
              <w:t>y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map</w:t>
            </w:r>
          </w:p>
        </w:tc>
        <w:tc>
          <w:tcPr>
            <w:tcW w:w="2956" w:type="dxa"/>
            <w:gridSpan w:val="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Raster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map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PDF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image</w:t>
            </w:r>
          </w:p>
        </w:tc>
        <w:tc>
          <w:tcPr>
            <w:tcW w:w="2957" w:type="dxa"/>
            <w:gridSpan w:val="2"/>
          </w:tcPr>
          <w:p>
            <w:pPr>
              <w:pStyle w:val="TableParagraph"/>
              <w:ind w:left="96"/>
              <w:rPr>
                <w:sz w:val="22"/>
              </w:rPr>
            </w:pPr>
            <w:r>
              <w:rPr>
                <w:sz w:val="22"/>
              </w:rPr>
              <w:t>Supplied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project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map</w:t>
            </w:r>
          </w:p>
        </w:tc>
      </w:tr>
      <w:tr>
        <w:trPr>
          <w:trHeight w:val="735" w:hRule="atLeast"/>
        </w:trPr>
        <w:tc>
          <w:tcPr>
            <w:tcW w:w="2970" w:type="dxa"/>
          </w:tcPr>
          <w:p>
            <w:pPr>
              <w:pStyle w:val="TableParagraph"/>
              <w:tabs>
                <w:tab w:pos="2219" w:val="left" w:leader="none"/>
              </w:tabs>
              <w:spacing w:line="276" w:lineRule="auto"/>
              <w:ind w:right="110"/>
              <w:rPr>
                <w:sz w:val="22"/>
              </w:rPr>
            </w:pPr>
            <w:r>
              <w:rPr>
                <w:spacing w:val="-2"/>
                <w:sz w:val="22"/>
              </w:rPr>
              <w:t>Published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Cacha</w:t>
            </w:r>
            <w:r>
              <w:rPr>
                <w:spacing w:val="-2"/>
                <w:sz w:val="22"/>
              </w:rPr>
              <w:t>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flood-susceptibility study</w:t>
            </w:r>
          </w:p>
        </w:tc>
        <w:tc>
          <w:tcPr>
            <w:tcW w:w="2956" w:type="dxa"/>
            <w:gridSpan w:val="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Research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paper</w:t>
            </w:r>
          </w:p>
        </w:tc>
        <w:tc>
          <w:tcPr>
            <w:tcW w:w="2579" w:type="dxa"/>
            <w:tcBorders>
              <w:right w:val="nil"/>
            </w:tcBorders>
          </w:tcPr>
          <w:p>
            <w:pPr>
              <w:pStyle w:val="TableParagraph"/>
              <w:tabs>
                <w:tab w:pos="1410" w:val="left" w:leader="none"/>
              </w:tabs>
              <w:spacing w:line="276" w:lineRule="auto"/>
              <w:ind w:left="96" w:right="334"/>
              <w:rPr>
                <w:sz w:val="22"/>
              </w:rPr>
            </w:pPr>
            <w:r>
              <w:rPr>
                <w:spacing w:val="-2"/>
                <w:sz w:val="22"/>
              </w:rPr>
              <w:t>Natural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Hazards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Springer-indexed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record</w:t>
            </w:r>
          </w:p>
        </w:tc>
        <w:tc>
          <w:tcPr>
            <w:tcW w:w="378" w:type="dxa"/>
            <w:tcBorders>
              <w:left w:val="nil"/>
            </w:tcBorders>
          </w:tcPr>
          <w:p>
            <w:pPr>
              <w:pStyle w:val="TableParagraph"/>
              <w:ind w:left="0" w:right="107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/</w:t>
            </w:r>
          </w:p>
        </w:tc>
      </w:tr>
      <w:tr>
        <w:trPr>
          <w:trHeight w:val="735" w:hRule="atLeast"/>
        </w:trPr>
        <w:tc>
          <w:tcPr>
            <w:tcW w:w="2970" w:type="dxa"/>
          </w:tcPr>
          <w:p>
            <w:pPr>
              <w:pStyle w:val="TableParagraph"/>
              <w:tabs>
                <w:tab w:pos="975" w:val="left" w:leader="none"/>
                <w:tab w:pos="1976" w:val="left" w:leader="none"/>
              </w:tabs>
              <w:spacing w:line="276" w:lineRule="auto"/>
              <w:ind w:right="109"/>
              <w:rPr>
                <w:sz w:val="22"/>
              </w:rPr>
            </w:pPr>
            <w:r>
              <w:rPr>
                <w:spacing w:val="-2"/>
                <w:sz w:val="22"/>
              </w:rPr>
              <w:t>Assam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regional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flood-</w:t>
            </w:r>
            <w:r>
              <w:rPr>
                <w:spacing w:val="-2"/>
                <w:sz w:val="22"/>
              </w:rPr>
              <w:t>ris</w:t>
            </w:r>
            <w:r>
              <w:rPr>
                <w:spacing w:val="-2"/>
                <w:sz w:val="22"/>
              </w:rPr>
              <w:t>k</w:t>
            </w:r>
            <w:r>
              <w:rPr>
                <w:spacing w:val="-2"/>
                <w:sz w:val="22"/>
              </w:rPr>
              <w:t> research</w:t>
            </w:r>
          </w:p>
        </w:tc>
        <w:tc>
          <w:tcPr>
            <w:tcW w:w="2956" w:type="dxa"/>
            <w:gridSpan w:val="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Research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paper</w:t>
            </w:r>
          </w:p>
        </w:tc>
        <w:tc>
          <w:tcPr>
            <w:tcW w:w="2957" w:type="dxa"/>
            <w:gridSpan w:val="2"/>
          </w:tcPr>
          <w:p>
            <w:pPr>
              <w:pStyle w:val="TableParagraph"/>
              <w:spacing w:line="276" w:lineRule="auto"/>
              <w:ind w:left="96"/>
              <w:rPr>
                <w:sz w:val="22"/>
              </w:rPr>
            </w:pPr>
            <w:r>
              <w:rPr>
                <w:sz w:val="22"/>
              </w:rPr>
              <w:t>Taylor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Francis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Geocart</w:t>
            </w:r>
            <w:r>
              <w:rPr>
                <w:sz w:val="22"/>
              </w:rPr>
              <w:t>o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International</w:t>
            </w:r>
          </w:p>
        </w:tc>
      </w:tr>
      <w:tr>
        <w:trPr>
          <w:trHeight w:val="735" w:hRule="atLeast"/>
        </w:trPr>
        <w:tc>
          <w:tcPr>
            <w:tcW w:w="2970" w:type="dxa"/>
          </w:tcPr>
          <w:p>
            <w:pPr>
              <w:pStyle w:val="TableParagraph"/>
              <w:tabs>
                <w:tab w:pos="1268" w:val="left" w:leader="none"/>
                <w:tab w:pos="2388" w:val="left" w:leader="none"/>
              </w:tabs>
              <w:spacing w:line="276" w:lineRule="auto"/>
              <w:ind w:right="100"/>
              <w:rPr>
                <w:sz w:val="22"/>
              </w:rPr>
            </w:pPr>
            <w:r>
              <w:rPr>
                <w:spacing w:val="-2"/>
                <w:sz w:val="22"/>
              </w:rPr>
              <w:t>Krishna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District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floo</w:t>
            </w:r>
            <w:r>
              <w:rPr>
                <w:spacing w:val="-2"/>
                <w:sz w:val="22"/>
              </w:rPr>
              <w:t>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susceptibility study</w:t>
            </w:r>
          </w:p>
        </w:tc>
        <w:tc>
          <w:tcPr>
            <w:tcW w:w="2956" w:type="dxa"/>
            <w:gridSpan w:val="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Research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paper</w:t>
            </w:r>
          </w:p>
        </w:tc>
        <w:tc>
          <w:tcPr>
            <w:tcW w:w="2579" w:type="dxa"/>
            <w:tcBorders>
              <w:right w:val="nil"/>
            </w:tcBorders>
          </w:tcPr>
          <w:p>
            <w:pPr>
              <w:pStyle w:val="TableParagraph"/>
              <w:tabs>
                <w:tab w:pos="1761" w:val="left" w:leader="none"/>
              </w:tabs>
              <w:spacing w:line="276" w:lineRule="auto"/>
              <w:ind w:left="96" w:right="184"/>
              <w:rPr>
                <w:sz w:val="22"/>
              </w:rPr>
            </w:pPr>
            <w:r>
              <w:rPr>
                <w:spacing w:val="-2"/>
                <w:sz w:val="22"/>
              </w:rPr>
              <w:t>Peer-reviewed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journa</w:t>
            </w:r>
            <w:r>
              <w:rPr>
                <w:spacing w:val="-2"/>
                <w:sz w:val="22"/>
              </w:rPr>
              <w:t>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PubMed record</w:t>
            </w:r>
          </w:p>
        </w:tc>
        <w:tc>
          <w:tcPr>
            <w:tcW w:w="378" w:type="dxa"/>
            <w:tcBorders>
              <w:left w:val="nil"/>
            </w:tcBorders>
          </w:tcPr>
          <w:p>
            <w:pPr>
              <w:pStyle w:val="TableParagraph"/>
              <w:ind w:left="0" w:right="109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/</w:t>
            </w:r>
          </w:p>
        </w:tc>
      </w:tr>
      <w:tr>
        <w:trPr>
          <w:trHeight w:val="735" w:hRule="atLeast"/>
        </w:trPr>
        <w:tc>
          <w:tcPr>
            <w:tcW w:w="2970" w:type="dxa"/>
          </w:tcPr>
          <w:p>
            <w:pPr>
              <w:pStyle w:val="TableParagraph"/>
              <w:tabs>
                <w:tab w:pos="951" w:val="left" w:leader="none"/>
                <w:tab w:pos="1680" w:val="left" w:leader="none"/>
              </w:tabs>
              <w:spacing w:line="276" w:lineRule="auto"/>
              <w:ind w:right="99"/>
              <w:rPr>
                <w:sz w:val="22"/>
              </w:rPr>
            </w:pPr>
            <w:r>
              <w:rPr>
                <w:spacing w:val="-2"/>
                <w:sz w:val="22"/>
              </w:rPr>
              <w:t>Idukki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flood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susceptibilit</w:t>
            </w:r>
            <w:r>
              <w:rPr>
                <w:spacing w:val="-2"/>
                <w:sz w:val="22"/>
              </w:rPr>
              <w:t>y</w:t>
            </w:r>
            <w:r>
              <w:rPr>
                <w:spacing w:val="-2"/>
                <w:sz w:val="22"/>
              </w:rPr>
              <w:t> study</w:t>
            </w:r>
          </w:p>
        </w:tc>
        <w:tc>
          <w:tcPr>
            <w:tcW w:w="2956" w:type="dxa"/>
            <w:gridSpan w:val="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Research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paper</w:t>
            </w:r>
          </w:p>
        </w:tc>
        <w:tc>
          <w:tcPr>
            <w:tcW w:w="2957" w:type="dxa"/>
            <w:gridSpan w:val="2"/>
          </w:tcPr>
          <w:p>
            <w:pPr>
              <w:pStyle w:val="TableParagraph"/>
              <w:ind w:left="96"/>
              <w:rPr>
                <w:sz w:val="22"/>
              </w:rPr>
            </w:pPr>
            <w:r>
              <w:rPr>
                <w:sz w:val="22"/>
              </w:rPr>
              <w:t>Journal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Spatial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Science</w:t>
            </w:r>
          </w:p>
        </w:tc>
      </w:tr>
      <w:tr>
        <w:trPr>
          <w:trHeight w:val="735" w:hRule="atLeast"/>
        </w:trPr>
        <w:tc>
          <w:tcPr>
            <w:tcW w:w="297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Hardoi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satellite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flood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context</w:t>
            </w:r>
          </w:p>
        </w:tc>
        <w:tc>
          <w:tcPr>
            <w:tcW w:w="1026" w:type="dxa"/>
            <w:tcBorders>
              <w:right w:val="nil"/>
            </w:tcBorders>
          </w:tcPr>
          <w:p>
            <w:pPr>
              <w:pStyle w:val="TableParagraph"/>
              <w:spacing w:line="276" w:lineRule="auto"/>
              <w:ind w:right="51"/>
              <w:rPr>
                <w:sz w:val="22"/>
              </w:rPr>
            </w:pPr>
            <w:r>
              <w:rPr>
                <w:spacing w:val="-2"/>
                <w:sz w:val="22"/>
              </w:rPr>
              <w:t>Of</w:t>
            </w:r>
            <w:r>
              <w:rPr>
                <w:spacing w:val="-2"/>
                <w:sz w:val="22"/>
              </w:rPr>
              <w:t>ficial</w:t>
            </w:r>
            <w:r>
              <w:rPr>
                <w:spacing w:val="-2"/>
                <w:sz w:val="22"/>
              </w:rPr>
              <w:t> document</w:t>
            </w:r>
          </w:p>
        </w:tc>
        <w:tc>
          <w:tcPr>
            <w:tcW w:w="893" w:type="dxa"/>
            <w:tcBorders>
              <w:left w:val="nil"/>
              <w:right w:val="nil"/>
            </w:tcBorders>
          </w:tcPr>
          <w:p>
            <w:pPr>
              <w:pStyle w:val="TableParagraph"/>
              <w:ind w:left="68"/>
              <w:rPr>
                <w:sz w:val="22"/>
              </w:rPr>
            </w:pPr>
            <w:r>
              <w:rPr>
                <w:spacing w:val="-2"/>
                <w:sz w:val="22"/>
              </w:rPr>
              <w:t>satellite</w:t>
            </w:r>
          </w:p>
        </w:tc>
        <w:tc>
          <w:tcPr>
            <w:tcW w:w="1037" w:type="dxa"/>
            <w:tcBorders>
              <w:left w:val="nil"/>
            </w:tcBorders>
          </w:tcPr>
          <w:p>
            <w:pPr>
              <w:pStyle w:val="TableParagraph"/>
              <w:ind w:left="154"/>
              <w:rPr>
                <w:sz w:val="22"/>
              </w:rPr>
            </w:pPr>
            <w:r>
              <w:rPr>
                <w:spacing w:val="-2"/>
                <w:sz w:val="22"/>
              </w:rPr>
              <w:t>mapping</w:t>
            </w:r>
          </w:p>
        </w:tc>
        <w:tc>
          <w:tcPr>
            <w:tcW w:w="2957" w:type="dxa"/>
            <w:gridSpan w:val="2"/>
          </w:tcPr>
          <w:p>
            <w:pPr>
              <w:pStyle w:val="TableParagraph"/>
              <w:ind w:left="96"/>
              <w:rPr>
                <w:sz w:val="22"/>
              </w:rPr>
            </w:pPr>
            <w:r>
              <w:rPr>
                <w:sz w:val="22"/>
              </w:rPr>
              <w:t>NRSC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ISRO</w:t>
            </w:r>
          </w:p>
        </w:tc>
      </w:tr>
      <w:tr>
        <w:trPr>
          <w:trHeight w:val="735" w:hRule="atLeast"/>
        </w:trPr>
        <w:tc>
          <w:tcPr>
            <w:tcW w:w="2970" w:type="dxa"/>
          </w:tcPr>
          <w:p>
            <w:pPr>
              <w:pStyle w:val="TableParagraph"/>
              <w:tabs>
                <w:tab w:pos="1408" w:val="left" w:leader="none"/>
              </w:tabs>
              <w:spacing w:line="276" w:lineRule="auto"/>
              <w:ind w:right="103"/>
              <w:rPr>
                <w:sz w:val="22"/>
              </w:rPr>
            </w:pPr>
            <w:r>
              <w:rPr>
                <w:spacing w:val="-2"/>
                <w:sz w:val="22"/>
              </w:rPr>
              <w:t>Hardoi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flood-</w:t>
            </w:r>
            <w:r>
              <w:rPr>
                <w:spacing w:val="-2"/>
                <w:sz w:val="22"/>
              </w:rPr>
              <w:t>sensitivit</w:t>
            </w:r>
            <w:r>
              <w:rPr>
                <w:spacing w:val="-2"/>
                <w:sz w:val="22"/>
              </w:rPr>
              <w:t>y</w:t>
            </w:r>
            <w:r>
              <w:rPr>
                <w:spacing w:val="-2"/>
                <w:sz w:val="22"/>
              </w:rPr>
              <w:t> context</w:t>
            </w:r>
          </w:p>
        </w:tc>
        <w:tc>
          <w:tcPr>
            <w:tcW w:w="2956" w:type="dxa"/>
            <w:gridSpan w:val="3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Government</w:t>
            </w:r>
          </w:p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z w:val="22"/>
              </w:rPr>
              <w:t>disaster-management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report</w:t>
            </w:r>
          </w:p>
        </w:tc>
        <w:tc>
          <w:tcPr>
            <w:tcW w:w="2957" w:type="dxa"/>
            <w:gridSpan w:val="2"/>
          </w:tcPr>
          <w:p>
            <w:pPr>
              <w:pStyle w:val="TableParagraph"/>
              <w:tabs>
                <w:tab w:pos="1032" w:val="left" w:leader="none"/>
                <w:tab w:pos="2112" w:val="left" w:leader="none"/>
              </w:tabs>
              <w:spacing w:line="276" w:lineRule="auto"/>
              <w:ind w:left="96" w:right="107"/>
              <w:rPr>
                <w:sz w:val="22"/>
              </w:rPr>
            </w:pPr>
            <w:r>
              <w:rPr>
                <w:spacing w:val="-6"/>
                <w:sz w:val="22"/>
              </w:rPr>
              <w:t>UP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State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Disaste</w:t>
            </w:r>
            <w:r>
              <w:rPr>
                <w:spacing w:val="-2"/>
                <w:sz w:val="22"/>
              </w:rPr>
              <w:t>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Management Authority</w:t>
            </w:r>
          </w:p>
        </w:tc>
      </w:tr>
    </w:tbl>
    <w:p>
      <w:pPr>
        <w:pStyle w:val="BodyText"/>
        <w:spacing w:line="276" w:lineRule="auto"/>
        <w:ind w:right="726"/>
      </w:pPr>
      <w:r>
        <w:rPr/>
        <w:t>The primary visual datasets are the two supplied map PDFs. External sources are used only </w:t>
      </w:r>
      <w:r>
        <w:rPr/>
        <w:t>for</w:t>
      </w:r>
      <w:r>
        <w:rPr/>
        <w:t> methodological context, literature review and supporting disaster context. This distinction is </w:t>
      </w:r>
      <w:r>
        <w:rPr/>
        <w:t>maintaine</w:t>
      </w:r>
      <w:r>
        <w:rPr/>
        <w:t>d</w:t>
      </w:r>
      <w:r>
        <w:rPr/>
        <w:t> throughout the report.</w:t>
      </w:r>
    </w:p>
    <w:p>
      <w:pPr>
        <w:pStyle w:val="BodyText"/>
        <w:spacing w:after="0" w:line="276" w:lineRule="auto"/>
        <w:sectPr>
          <w:pgSz w:w="12240" w:h="15840"/>
          <w:pgMar w:header="727" w:footer="0" w:top="1340" w:bottom="280" w:left="1440" w:right="720"/>
        </w:sectPr>
      </w:pPr>
    </w:p>
    <w:p>
      <w:pPr>
        <w:pStyle w:val="Heading2"/>
        <w:numPr>
          <w:ilvl w:val="1"/>
          <w:numId w:val="2"/>
        </w:numPr>
        <w:tabs>
          <w:tab w:pos="419" w:val="left" w:leader="none"/>
        </w:tabs>
        <w:spacing w:line="240" w:lineRule="auto" w:before="80" w:after="0"/>
        <w:ind w:left="419" w:right="0" w:hanging="419"/>
        <w:jc w:val="left"/>
      </w:pPr>
      <w:r>
        <w:rPr/>
        <w:t>Softwares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Tools</w:t>
      </w:r>
    </w:p>
    <w:p>
      <w:pPr>
        <w:pStyle w:val="BodyText"/>
        <w:spacing w:before="18"/>
        <w:jc w:val="left"/>
        <w:rPr>
          <w:b/>
          <w:sz w:val="20"/>
        </w:rPr>
      </w:pPr>
    </w:p>
    <w:tbl>
      <w:tblPr>
        <w:tblW w:w="0" w:type="auto"/>
        <w:jc w:val="left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95"/>
        <w:gridCol w:w="4470"/>
      </w:tblGrid>
      <w:tr>
        <w:trPr>
          <w:trHeight w:val="375" w:hRule="atLeast"/>
        </w:trPr>
        <w:tc>
          <w:tcPr>
            <w:tcW w:w="4395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Tool</w:t>
            </w:r>
          </w:p>
        </w:tc>
        <w:tc>
          <w:tcPr>
            <w:tcW w:w="447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Purpose</w:t>
            </w:r>
          </w:p>
        </w:tc>
      </w:tr>
      <w:tr>
        <w:trPr>
          <w:trHeight w:val="1095" w:hRule="atLeast"/>
        </w:trPr>
        <w:tc>
          <w:tcPr>
            <w:tcW w:w="43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ArcGIS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ArcGIS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Pro</w:t>
            </w:r>
          </w:p>
        </w:tc>
        <w:tc>
          <w:tcPr>
            <w:tcW w:w="4470" w:type="dxa"/>
          </w:tcPr>
          <w:p>
            <w:pPr>
              <w:pStyle w:val="TableParagraph"/>
              <w:spacing w:line="276" w:lineRule="auto"/>
              <w:ind w:right="102"/>
              <w:jc w:val="both"/>
              <w:rPr>
                <w:sz w:val="22"/>
              </w:rPr>
            </w:pPr>
            <w:r>
              <w:rPr>
                <w:sz w:val="22"/>
              </w:rPr>
              <w:t>Map preparation, raster </w:t>
            </w:r>
            <w:r>
              <w:rPr>
                <w:sz w:val="22"/>
              </w:rPr>
              <w:t>processing</w:t>
            </w:r>
            <w:r>
              <w:rPr>
                <w:sz w:val="22"/>
              </w:rPr>
              <w:t>,</w:t>
            </w:r>
            <w:r>
              <w:rPr>
                <w:sz w:val="22"/>
              </w:rPr>
              <w:t> reclassification, weighted overlay and layou</w:t>
            </w:r>
            <w:r>
              <w:rPr>
                <w:sz w:val="22"/>
              </w:rPr>
              <w:t>t</w:t>
            </w:r>
            <w:r>
              <w:rPr>
                <w:sz w:val="22"/>
              </w:rPr>
              <w:t> design where applicable</w:t>
            </w:r>
          </w:p>
        </w:tc>
      </w:tr>
      <w:tr>
        <w:trPr>
          <w:trHeight w:val="1095" w:hRule="atLeast"/>
        </w:trPr>
        <w:tc>
          <w:tcPr>
            <w:tcW w:w="43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QGIS</w:t>
            </w:r>
          </w:p>
        </w:tc>
        <w:tc>
          <w:tcPr>
            <w:tcW w:w="4470" w:type="dxa"/>
          </w:tcPr>
          <w:p>
            <w:pPr>
              <w:pStyle w:val="TableParagraph"/>
              <w:spacing w:line="276" w:lineRule="auto"/>
              <w:rPr>
                <w:sz w:val="22"/>
              </w:rPr>
            </w:pPr>
            <w:r>
              <w:rPr>
                <w:sz w:val="22"/>
              </w:rPr>
              <w:t>Alternative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GIS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environment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raster/vecto</w:t>
            </w:r>
            <w:r>
              <w:rPr>
                <w:sz w:val="22"/>
              </w:rPr>
              <w:t>r</w:t>
            </w:r>
            <w:r>
              <w:rPr>
                <w:sz w:val="22"/>
              </w:rPr>
              <w:t> processing and cartographic layout</w:t>
            </w:r>
          </w:p>
        </w:tc>
      </w:tr>
      <w:tr>
        <w:trPr>
          <w:trHeight w:val="1095" w:hRule="atLeast"/>
        </w:trPr>
        <w:tc>
          <w:tcPr>
            <w:tcW w:w="43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Remote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sensing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datasets</w:t>
            </w:r>
          </w:p>
        </w:tc>
        <w:tc>
          <w:tcPr>
            <w:tcW w:w="4470" w:type="dxa"/>
          </w:tcPr>
          <w:p>
            <w:pPr>
              <w:pStyle w:val="TableParagraph"/>
              <w:spacing w:line="276" w:lineRule="auto"/>
              <w:rPr>
                <w:sz w:val="22"/>
              </w:rPr>
            </w:pPr>
            <w:r>
              <w:rPr>
                <w:sz w:val="22"/>
              </w:rPr>
              <w:t>Extraction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environmental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variables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such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z w:val="22"/>
              </w:rPr>
              <w:t>s</w:t>
            </w:r>
            <w:r>
              <w:rPr>
                <w:sz w:val="22"/>
              </w:rPr>
              <w:t> vegetation, water and land-cover information</w:t>
            </w:r>
          </w:p>
        </w:tc>
      </w:tr>
      <w:tr>
        <w:trPr>
          <w:trHeight w:val="1095" w:hRule="atLeast"/>
        </w:trPr>
        <w:tc>
          <w:tcPr>
            <w:tcW w:w="43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Python</w:t>
            </w:r>
          </w:p>
        </w:tc>
        <w:tc>
          <w:tcPr>
            <w:tcW w:w="4470" w:type="dxa"/>
          </w:tcPr>
          <w:p>
            <w:pPr>
              <w:pStyle w:val="TableParagraph"/>
              <w:spacing w:line="276" w:lineRule="auto"/>
              <w:rPr>
                <w:sz w:val="22"/>
              </w:rPr>
            </w:pPr>
            <w:r>
              <w:rPr>
                <w:sz w:val="22"/>
              </w:rPr>
              <w:t>Optional statistical processing, chart </w:t>
            </w:r>
            <w:r>
              <w:rPr>
                <w:sz w:val="22"/>
              </w:rPr>
              <w:t>generatio</w:t>
            </w:r>
            <w:r>
              <w:rPr>
                <w:sz w:val="22"/>
              </w:rPr>
              <w:t>n</w:t>
            </w:r>
            <w:r>
              <w:rPr>
                <w:sz w:val="22"/>
              </w:rPr>
              <w:t> and reproducible comparison tables</w:t>
            </w:r>
          </w:p>
        </w:tc>
      </w:tr>
      <w:tr>
        <w:trPr>
          <w:trHeight w:val="375" w:hRule="atLeast"/>
        </w:trPr>
        <w:tc>
          <w:tcPr>
            <w:tcW w:w="43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Microsoft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Word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LibreOffice</w:t>
            </w:r>
          </w:p>
        </w:tc>
        <w:tc>
          <w:tcPr>
            <w:tcW w:w="447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Report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preparation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documentation</w:t>
            </w:r>
          </w:p>
        </w:tc>
      </w:tr>
      <w:tr>
        <w:trPr>
          <w:trHeight w:val="735" w:hRule="atLeast"/>
        </w:trPr>
        <w:tc>
          <w:tcPr>
            <w:tcW w:w="43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Google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Earth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Engine</w:t>
            </w:r>
          </w:p>
        </w:tc>
        <w:tc>
          <w:tcPr>
            <w:tcW w:w="4470" w:type="dxa"/>
          </w:tcPr>
          <w:p>
            <w:pPr>
              <w:pStyle w:val="TableParagraph"/>
              <w:spacing w:line="276" w:lineRule="auto"/>
              <w:ind w:right="105"/>
              <w:rPr>
                <w:sz w:val="22"/>
              </w:rPr>
            </w:pPr>
            <w:r>
              <w:rPr>
                <w:sz w:val="22"/>
              </w:rPr>
              <w:t>Optional large-scale satellite preprocessing </w:t>
            </w:r>
            <w:r>
              <w:rPr>
                <w:sz w:val="22"/>
              </w:rPr>
              <w:t>an</w:t>
            </w:r>
            <w:r>
              <w:rPr>
                <w:sz w:val="22"/>
              </w:rPr>
              <w:t>d</w:t>
            </w:r>
            <w:r>
              <w:rPr>
                <w:sz w:val="22"/>
              </w:rPr>
              <w:t> time-series analysis</w:t>
            </w:r>
          </w:p>
        </w:tc>
      </w:tr>
      <w:tr>
        <w:trPr>
          <w:trHeight w:val="1095" w:hRule="atLeast"/>
        </w:trPr>
        <w:tc>
          <w:tcPr>
            <w:tcW w:w="43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AHP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MCDA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framework</w:t>
            </w:r>
          </w:p>
        </w:tc>
        <w:tc>
          <w:tcPr>
            <w:tcW w:w="4470" w:type="dxa"/>
          </w:tcPr>
          <w:p>
            <w:pPr>
              <w:pStyle w:val="TableParagraph"/>
              <w:spacing w:line="276" w:lineRule="auto"/>
              <w:ind w:right="100"/>
              <w:jc w:val="both"/>
              <w:rPr>
                <w:sz w:val="22"/>
              </w:rPr>
            </w:pPr>
            <w:r>
              <w:rPr>
                <w:sz w:val="22"/>
              </w:rPr>
              <w:t>Weight assignment and multi-</w:t>
            </w:r>
            <w:r>
              <w:rPr>
                <w:sz w:val="22"/>
              </w:rPr>
              <w:t>criteri</w:t>
            </w:r>
            <w:r>
              <w:rPr>
                <w:sz w:val="22"/>
              </w:rPr>
              <w:t>a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integration when reconstructing a comparabl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model</w:t>
            </w:r>
          </w:p>
        </w:tc>
      </w:tr>
    </w:tbl>
    <w:p>
      <w:pPr>
        <w:pStyle w:val="TableParagraph"/>
        <w:spacing w:after="0" w:line="276" w:lineRule="auto"/>
        <w:jc w:val="both"/>
        <w:rPr>
          <w:sz w:val="22"/>
        </w:rPr>
        <w:sectPr>
          <w:pgSz w:w="12240" w:h="15840"/>
          <w:pgMar w:header="727" w:footer="0" w:top="1340" w:bottom="280" w:left="1440" w:right="720"/>
        </w:sectPr>
      </w:pPr>
    </w:p>
    <w:p>
      <w:pPr>
        <w:pStyle w:val="Heading1"/>
      </w:pPr>
      <w:r>
        <w:rPr/>
        <w:t>CHAPTER</w:t>
      </w:r>
      <w:r>
        <w:rPr>
          <w:spacing w:val="-1"/>
        </w:rPr>
        <w:t> </w:t>
      </w:r>
      <w:r>
        <w:rPr/>
        <w:t>3:</w:t>
      </w:r>
      <w:r>
        <w:rPr>
          <w:spacing w:val="-1"/>
        </w:rPr>
        <w:t> </w:t>
      </w:r>
      <w:r>
        <w:rPr>
          <w:spacing w:val="-2"/>
        </w:rPr>
        <w:t>METHODOLOGY</w:t>
      </w:r>
    </w:p>
    <w:p>
      <w:pPr>
        <w:pStyle w:val="Heading2"/>
        <w:numPr>
          <w:ilvl w:val="1"/>
          <w:numId w:val="5"/>
        </w:numPr>
        <w:tabs>
          <w:tab w:pos="419" w:val="left" w:leader="none"/>
        </w:tabs>
        <w:spacing w:line="240" w:lineRule="auto" w:before="175" w:after="0"/>
        <w:ind w:left="419" w:right="0" w:hanging="419"/>
        <w:jc w:val="left"/>
      </w:pPr>
      <w:r>
        <w:rPr/>
        <w:t>Research</w:t>
      </w:r>
      <w:r>
        <w:rPr>
          <w:spacing w:val="-7"/>
        </w:rPr>
        <w:t> </w:t>
      </w:r>
      <w:r>
        <w:rPr>
          <w:spacing w:val="-2"/>
        </w:rPr>
        <w:t>Design</w:t>
      </w:r>
    </w:p>
    <w:p>
      <w:pPr>
        <w:pStyle w:val="BodyText"/>
        <w:spacing w:line="276" w:lineRule="auto" w:before="129"/>
        <w:ind w:right="728"/>
      </w:pPr>
      <w:r>
        <w:rPr/>
        <w:t>The study follows a comparative spatial-analysis design. It begins with acquisition and inspection of</w:t>
      </w:r>
      <w:r>
        <w:rPr>
          <w:spacing w:val="-3"/>
        </w:rPr>
        <w:t> </w:t>
      </w:r>
      <w:r>
        <w:rPr/>
        <w:t>the</w:t>
      </w:r>
      <w:r>
        <w:rPr/>
        <w:t> two supplied maps, followed by classification harmonization, visual pattern extraction, </w:t>
      </w:r>
      <w:r>
        <w:rPr/>
        <w:t>supporting</w:t>
      </w:r>
      <w:r>
        <w:rPr/>
        <w:t> literature review, comparative interpretation, limitation assessment and recommendation development.</w:t>
      </w:r>
    </w:p>
    <w:p>
      <w:pPr>
        <w:pStyle w:val="BodyText"/>
        <w:spacing w:before="10"/>
        <w:jc w:val="lef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2238375</wp:posOffset>
            </wp:positionH>
            <wp:positionV relativeFrom="paragraph">
              <wp:posOffset>146085</wp:posOffset>
            </wp:positionV>
            <wp:extent cx="3278304" cy="576072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8304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0"/>
        <w:jc w:val="left"/>
      </w:pPr>
    </w:p>
    <w:p>
      <w:pPr>
        <w:spacing w:before="0"/>
        <w:ind w:left="804" w:right="0" w:firstLine="0"/>
        <w:jc w:val="left"/>
        <w:rPr>
          <w:b/>
          <w:sz w:val="20"/>
        </w:rPr>
      </w:pPr>
      <w:r>
        <w:rPr>
          <w:b/>
          <w:sz w:val="20"/>
        </w:rPr>
        <w:t>Figure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3.1.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Original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research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workflow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prepared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for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the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comparative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flood-mapping</w:t>
      </w:r>
      <w:r>
        <w:rPr>
          <w:b/>
          <w:spacing w:val="-3"/>
          <w:sz w:val="20"/>
        </w:rPr>
        <w:t> </w:t>
      </w:r>
      <w:r>
        <w:rPr>
          <w:b/>
          <w:spacing w:val="-2"/>
          <w:sz w:val="20"/>
        </w:rPr>
        <w:t>study.</w:t>
      </w:r>
    </w:p>
    <w:p>
      <w:pPr>
        <w:pStyle w:val="BodyText"/>
        <w:spacing w:before="5"/>
        <w:jc w:val="left"/>
        <w:rPr>
          <w:b/>
          <w:sz w:val="20"/>
        </w:rPr>
      </w:pPr>
    </w:p>
    <w:p>
      <w:pPr>
        <w:pStyle w:val="BodyText"/>
        <w:spacing w:line="276" w:lineRule="auto" w:before="0"/>
        <w:ind w:right="721"/>
      </w:pPr>
      <w:r>
        <w:rPr/>
        <w:t>The workflow deliberately separates observation from interpretation. First, the visible map pattern </w:t>
      </w:r>
      <w:r>
        <w:rPr/>
        <w:t>is</w:t>
      </w:r>
      <w:r>
        <w:rPr/>
        <w:t> recorded. Only after this step are possible environmental</w:t>
      </w:r>
      <w:r>
        <w:rPr>
          <w:spacing w:val="-3"/>
        </w:rPr>
        <w:t> </w:t>
      </w:r>
      <w:r>
        <w:rPr/>
        <w:t>explanations</w:t>
      </w:r>
      <w:r>
        <w:rPr>
          <w:spacing w:val="-3"/>
        </w:rPr>
        <w:t> </w:t>
      </w:r>
      <w:r>
        <w:rPr/>
        <w:t>discussed.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prevents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report</w:t>
      </w:r>
      <w:r>
        <w:rPr/>
        <w:t> from treating an assumed modelling factor as if it were explicitly present in the supplied map.</w:t>
      </w:r>
    </w:p>
    <w:p>
      <w:pPr>
        <w:pStyle w:val="BodyText"/>
        <w:spacing w:after="0" w:line="276" w:lineRule="auto"/>
        <w:sectPr>
          <w:pgSz w:w="12240" w:h="15840"/>
          <w:pgMar w:header="727" w:footer="0" w:top="1340" w:bottom="280" w:left="1440" w:right="720"/>
        </w:sectPr>
      </w:pPr>
    </w:p>
    <w:p>
      <w:pPr>
        <w:pStyle w:val="Heading2"/>
        <w:numPr>
          <w:ilvl w:val="1"/>
          <w:numId w:val="5"/>
        </w:numPr>
        <w:tabs>
          <w:tab w:pos="419" w:val="left" w:leader="none"/>
        </w:tabs>
        <w:spacing w:line="240" w:lineRule="auto" w:before="80" w:after="0"/>
        <w:ind w:left="419" w:right="0" w:hanging="419"/>
        <w:jc w:val="left"/>
      </w:pPr>
      <w:r>
        <w:rPr/>
        <w:t>Objective-Wise</w:t>
      </w:r>
      <w:r>
        <w:rPr>
          <w:spacing w:val="-7"/>
        </w:rPr>
        <w:t> </w:t>
      </w:r>
      <w:r>
        <w:rPr>
          <w:spacing w:val="-2"/>
        </w:rPr>
        <w:t>Methodology</w:t>
      </w:r>
    </w:p>
    <w:p>
      <w:pPr>
        <w:pStyle w:val="Heading3"/>
        <w:spacing w:before="249"/>
      </w:pPr>
      <w:r>
        <w:rPr/>
        <w:t>Objective</w:t>
      </w:r>
      <w:r>
        <w:rPr>
          <w:spacing w:val="-1"/>
        </w:rPr>
        <w:t> </w:t>
      </w:r>
      <w:r>
        <w:rPr/>
        <w:t>1:</w:t>
      </w:r>
      <w:r>
        <w:rPr>
          <w:spacing w:val="-1"/>
        </w:rPr>
        <w:t> </w:t>
      </w:r>
      <w:r>
        <w:rPr/>
        <w:t>Examine</w:t>
      </w:r>
      <w:r>
        <w:rPr>
          <w:spacing w:val="-1"/>
        </w:rPr>
        <w:t> </w:t>
      </w:r>
      <w:r>
        <w:rPr/>
        <w:t>spatial</w:t>
      </w:r>
      <w:r>
        <w:rPr>
          <w:spacing w:val="-1"/>
        </w:rPr>
        <w:t> </w:t>
      </w:r>
      <w:r>
        <w:rPr/>
        <w:t>distribution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flood</w:t>
      </w:r>
      <w:r>
        <w:rPr>
          <w:spacing w:val="-1"/>
        </w:rPr>
        <w:t> </w:t>
      </w:r>
      <w:r>
        <w:rPr>
          <w:spacing w:val="-2"/>
        </w:rPr>
        <w:t>classes</w:t>
      </w:r>
    </w:p>
    <w:p>
      <w:pPr>
        <w:pStyle w:val="BodyText"/>
        <w:spacing w:line="276" w:lineRule="auto" w:before="124"/>
        <w:ind w:right="720"/>
      </w:pPr>
      <w:r>
        <w:rPr/>
        <w:t>The five-class legends of both maps were recorded and placed into a common comparison </w:t>
      </w:r>
      <w:r>
        <w:rPr/>
        <w:t>framework:</w:t>
      </w:r>
      <w:r>
        <w:rPr/>
        <w:t> Very Low, Low, Moderate, High and Very High. For each map, the approximate location and </w:t>
      </w:r>
      <w:r>
        <w:rPr/>
        <w:t>visual</w:t>
      </w:r>
      <w:r>
        <w:rPr/>
        <w:t> concentration of each class were documented. The analysis did not convert</w:t>
      </w:r>
      <w:r>
        <w:rPr>
          <w:spacing w:val="-3"/>
        </w:rPr>
        <w:t> </w:t>
      </w:r>
      <w:r>
        <w:rPr/>
        <w:t>colours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area</w:t>
      </w:r>
      <w:r>
        <w:rPr>
          <w:spacing w:val="-3"/>
        </w:rPr>
        <w:t> </w:t>
      </w:r>
      <w:r>
        <w:rPr/>
        <w:t>percentages</w:t>
      </w:r>
      <w:r>
        <w:rPr/>
        <w:t> because the source images do not provide class-area statistics.</w:t>
      </w:r>
    </w:p>
    <w:p>
      <w:pPr>
        <w:pStyle w:val="BodyText"/>
        <w:spacing w:before="27"/>
        <w:jc w:val="left"/>
      </w:pPr>
    </w:p>
    <w:p>
      <w:pPr>
        <w:pStyle w:val="Heading3"/>
      </w:pPr>
      <w:r>
        <w:rPr/>
        <w:t>Objective</w:t>
      </w:r>
      <w:r>
        <w:rPr>
          <w:spacing w:val="-1"/>
        </w:rPr>
        <w:t> </w:t>
      </w:r>
      <w:r>
        <w:rPr/>
        <w:t>2:</w:t>
      </w:r>
      <w:r>
        <w:rPr>
          <w:spacing w:val="-1"/>
        </w:rPr>
        <w:t> </w:t>
      </w:r>
      <w:r>
        <w:rPr/>
        <w:t>Identify</w:t>
      </w:r>
      <w:r>
        <w:rPr>
          <w:spacing w:val="-1"/>
        </w:rPr>
        <w:t> </w:t>
      </w:r>
      <w:r>
        <w:rPr/>
        <w:t>concentration</w:t>
      </w:r>
      <w:r>
        <w:rPr>
          <w:spacing w:val="-1"/>
        </w:rPr>
        <w:t> </w:t>
      </w:r>
      <w:r>
        <w:rPr>
          <w:spacing w:val="-2"/>
        </w:rPr>
        <w:t>zones</w:t>
      </w:r>
    </w:p>
    <w:p>
      <w:pPr>
        <w:pStyle w:val="BodyText"/>
        <w:spacing w:line="276" w:lineRule="auto" w:before="125"/>
        <w:ind w:right="720"/>
      </w:pPr>
      <w:r>
        <w:rPr/>
        <w:t>The maps were visually</w:t>
      </w:r>
      <w:r>
        <w:rPr>
          <w:spacing w:val="-4"/>
        </w:rPr>
        <w:t> </w:t>
      </w:r>
      <w:r>
        <w:rPr/>
        <w:t>divided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broad</w:t>
      </w:r>
      <w:r>
        <w:rPr>
          <w:spacing w:val="-4"/>
        </w:rPr>
        <w:t> </w:t>
      </w:r>
      <w:r>
        <w:rPr/>
        <w:t>sectors—north,</w:t>
      </w:r>
      <w:r>
        <w:rPr>
          <w:spacing w:val="-4"/>
        </w:rPr>
        <w:t> </w:t>
      </w:r>
      <w:r>
        <w:rPr/>
        <w:t>south,</w:t>
      </w:r>
      <w:r>
        <w:rPr>
          <w:spacing w:val="-4"/>
        </w:rPr>
        <w:t> </w:t>
      </w:r>
      <w:r>
        <w:rPr/>
        <w:t>east,</w:t>
      </w:r>
      <w:r>
        <w:rPr>
          <w:spacing w:val="-4"/>
        </w:rPr>
        <w:t> </w:t>
      </w:r>
      <w:r>
        <w:rPr/>
        <w:t>west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central/interior.</w:t>
      </w:r>
      <w:r>
        <w:rPr>
          <w:spacing w:val="-4"/>
        </w:rPr>
        <w:t> </w:t>
      </w:r>
      <w:r>
        <w:rPr/>
        <w:t>High</w:t>
      </w:r>
      <w:r>
        <w:rPr>
          <w:spacing w:val="-4"/>
        </w:rPr>
        <w:t> </w:t>
      </w:r>
      <w:r>
        <w:rPr/>
        <w:t>and</w:t>
      </w:r>
      <w:r>
        <w:rPr/>
        <w:t> Very High patches were</w:t>
      </w:r>
      <w:r>
        <w:rPr>
          <w:spacing w:val="-5"/>
        </w:rPr>
        <w:t> </w:t>
      </w:r>
      <w:r>
        <w:rPr/>
        <w:t>identified</w:t>
      </w:r>
      <w:r>
        <w:rPr>
          <w:spacing w:val="-5"/>
        </w:rPr>
        <w:t> </w:t>
      </w:r>
      <w:r>
        <w:rPr/>
        <w:t>according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their</w:t>
      </w:r>
      <w:r>
        <w:rPr>
          <w:spacing w:val="-5"/>
        </w:rPr>
        <w:t> </w:t>
      </w:r>
      <w:r>
        <w:rPr/>
        <w:t>apparent</w:t>
      </w:r>
      <w:r>
        <w:rPr>
          <w:spacing w:val="-5"/>
        </w:rPr>
        <w:t> </w:t>
      </w:r>
      <w:r>
        <w:rPr/>
        <w:t>clustering,</w:t>
      </w:r>
      <w:r>
        <w:rPr>
          <w:spacing w:val="-5"/>
        </w:rPr>
        <w:t> </w:t>
      </w:r>
      <w:r>
        <w:rPr/>
        <w:t>continuity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relation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visible</w:t>
      </w:r>
      <w:r>
        <w:rPr/>
        <w:t> drainage-like structures or landscape boundaries. The purpose was to describe spatial</w:t>
      </w:r>
      <w:r>
        <w:rPr>
          <w:spacing w:val="-3"/>
        </w:rPr>
        <w:t> </w:t>
      </w:r>
      <w:r>
        <w:rPr/>
        <w:t>organisation</w:t>
      </w:r>
      <w:r>
        <w:rPr>
          <w:spacing w:val="-3"/>
        </w:rPr>
        <w:t> </w:t>
      </w:r>
      <w:r>
        <w:rPr/>
        <w:t>rather</w:t>
      </w:r>
      <w:r>
        <w:rPr/>
        <w:t> than to infer exact causation.</w:t>
      </w:r>
    </w:p>
    <w:p>
      <w:pPr>
        <w:pStyle w:val="BodyText"/>
        <w:spacing w:before="27"/>
        <w:jc w:val="left"/>
      </w:pPr>
    </w:p>
    <w:p>
      <w:pPr>
        <w:pStyle w:val="Heading3"/>
      </w:pPr>
      <w:r>
        <w:rPr/>
        <w:t>Objective</w:t>
      </w:r>
      <w:r>
        <w:rPr>
          <w:spacing w:val="-5"/>
        </w:rPr>
        <w:t> </w:t>
      </w:r>
      <w:r>
        <w:rPr/>
        <w:t>3:</w:t>
      </w:r>
      <w:r>
        <w:rPr>
          <w:spacing w:val="-5"/>
        </w:rPr>
        <w:t> </w:t>
      </w:r>
      <w:r>
        <w:rPr/>
        <w:t>Compare</w:t>
      </w:r>
      <w:r>
        <w:rPr>
          <w:spacing w:val="-5"/>
        </w:rPr>
        <w:t> </w:t>
      </w:r>
      <w:r>
        <w:rPr/>
        <w:t>higher-risk</w:t>
      </w:r>
      <w:r>
        <w:rPr>
          <w:spacing w:val="-4"/>
        </w:rPr>
        <w:t> </w:t>
      </w:r>
      <w:r>
        <w:rPr>
          <w:spacing w:val="-2"/>
        </w:rPr>
        <w:t>patterns</w:t>
      </w:r>
    </w:p>
    <w:p>
      <w:pPr>
        <w:pStyle w:val="BodyText"/>
        <w:spacing w:line="276" w:lineRule="auto" w:before="125"/>
        <w:ind w:right="721"/>
      </w:pPr>
      <w:r>
        <w:rPr/>
        <w:t>The comparison considered three dimensions: intensity, continuity and concentration. Intensity refers </w:t>
      </w:r>
      <w:r>
        <w:rPr/>
        <w:t>to</w:t>
      </w:r>
      <w:r>
        <w:rPr/>
        <w:t> the relative presence of High and Very High colours. Continuity</w:t>
      </w:r>
      <w:r>
        <w:rPr>
          <w:spacing w:val="-4"/>
        </w:rPr>
        <w:t> </w:t>
      </w:r>
      <w:r>
        <w:rPr/>
        <w:t>refers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whether</w:t>
      </w:r>
      <w:r>
        <w:rPr>
          <w:spacing w:val="-4"/>
        </w:rPr>
        <w:t> </w:t>
      </w:r>
      <w:r>
        <w:rPr/>
        <w:t>higher</w:t>
      </w:r>
      <w:r>
        <w:rPr>
          <w:spacing w:val="-4"/>
        </w:rPr>
        <w:t> </w:t>
      </w:r>
      <w:r>
        <w:rPr/>
        <w:t>categories</w:t>
      </w:r>
      <w:r>
        <w:rPr>
          <w:spacing w:val="-4"/>
        </w:rPr>
        <w:t> </w:t>
      </w:r>
      <w:r>
        <w:rPr/>
        <w:t>form</w:t>
      </w:r>
      <w:r>
        <w:rPr/>
        <w:t> connected belts or isolated patches. Concentration refers to whether they occur in specific corridors </w:t>
      </w:r>
      <w:r>
        <w:rPr/>
        <w:t>or</w:t>
      </w:r>
      <w:r>
        <w:rPr/>
        <w:t> across broad portions of the district.</w:t>
      </w:r>
    </w:p>
    <w:p>
      <w:pPr>
        <w:pStyle w:val="Heading2"/>
        <w:numPr>
          <w:ilvl w:val="1"/>
          <w:numId w:val="5"/>
        </w:numPr>
        <w:tabs>
          <w:tab w:pos="419" w:val="left" w:leader="none"/>
        </w:tabs>
        <w:spacing w:line="240" w:lineRule="auto" w:before="200" w:after="0"/>
        <w:ind w:left="419" w:right="0" w:hanging="419"/>
        <w:jc w:val="left"/>
      </w:pPr>
      <w:r>
        <w:rPr/>
        <w:t>Map</w:t>
      </w:r>
      <w:r>
        <w:rPr>
          <w:spacing w:val="-1"/>
        </w:rPr>
        <w:t> </w:t>
      </w:r>
      <w:r>
        <w:rPr>
          <w:spacing w:val="-2"/>
        </w:rPr>
        <w:t>Standardization</w:t>
      </w:r>
    </w:p>
    <w:p>
      <w:pPr>
        <w:pStyle w:val="BodyText"/>
        <w:spacing w:line="276" w:lineRule="auto" w:before="48"/>
        <w:ind w:right="720"/>
      </w:pPr>
      <w:r>
        <w:rPr/>
        <w:t>Before comparing the two maps, their legends were translated into a common semantic scale. The </w:t>
      </w:r>
      <w:r>
        <w:rPr/>
        <w:t>class</w:t>
      </w:r>
      <w:r>
        <w:rPr/>
        <w:t> names were retained in their original terminology, but their</w:t>
      </w:r>
      <w:r>
        <w:rPr>
          <w:spacing w:val="-4"/>
        </w:rPr>
        <w:t> </w:t>
      </w:r>
      <w:r>
        <w:rPr/>
        <w:t>ordinal</w:t>
      </w:r>
      <w:r>
        <w:rPr>
          <w:spacing w:val="-4"/>
        </w:rPr>
        <w:t> </w:t>
      </w:r>
      <w:r>
        <w:rPr/>
        <w:t>position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standardized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1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5</w:t>
      </w:r>
      <w:r>
        <w:rPr/>
        <w:t> for descriptive comparison only. This ordinal coding does not</w:t>
      </w:r>
      <w:r>
        <w:rPr>
          <w:spacing w:val="-4"/>
        </w:rPr>
        <w:t> </w:t>
      </w:r>
      <w:r>
        <w:rPr/>
        <w:t>imply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underlying</w:t>
      </w:r>
      <w:r>
        <w:rPr>
          <w:spacing w:val="-4"/>
        </w:rPr>
        <w:t> </w:t>
      </w:r>
      <w:r>
        <w:rPr/>
        <w:t>numerical</w:t>
      </w:r>
      <w:r>
        <w:rPr>
          <w:spacing w:val="-4"/>
        </w:rPr>
        <w:t> </w:t>
      </w:r>
      <w:r>
        <w:rPr/>
        <w:t>scores</w:t>
      </w:r>
      <w:r>
        <w:rPr/>
        <w:t> are equal.</w:t>
      </w:r>
    </w:p>
    <w:p>
      <w:pPr>
        <w:pStyle w:val="BodyText"/>
        <w:spacing w:before="4" w:after="1"/>
        <w:jc w:val="left"/>
        <w:rPr>
          <w:sz w:val="16"/>
        </w:rPr>
      </w:pPr>
    </w:p>
    <w:tbl>
      <w:tblPr>
        <w:tblW w:w="0" w:type="auto"/>
        <w:jc w:val="left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75"/>
        <w:gridCol w:w="2175"/>
        <w:gridCol w:w="2175"/>
        <w:gridCol w:w="2340"/>
      </w:tblGrid>
      <w:tr>
        <w:trPr>
          <w:trHeight w:val="735" w:hRule="atLeast"/>
        </w:trPr>
        <w:tc>
          <w:tcPr>
            <w:tcW w:w="2175" w:type="dxa"/>
          </w:tcPr>
          <w:p>
            <w:pPr>
              <w:pStyle w:val="TableParagraph"/>
              <w:spacing w:before="12"/>
              <w:rPr>
                <w:b/>
                <w:sz w:val="22"/>
              </w:rPr>
            </w:pPr>
            <w:r>
              <w:rPr>
                <w:b/>
                <w:sz w:val="22"/>
              </w:rPr>
              <w:t>Common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Level</w:t>
            </w:r>
          </w:p>
        </w:tc>
        <w:tc>
          <w:tcPr>
            <w:tcW w:w="2175" w:type="dxa"/>
          </w:tcPr>
          <w:p>
            <w:pPr>
              <w:pStyle w:val="TableParagraph"/>
              <w:spacing w:before="12"/>
              <w:rPr>
                <w:b/>
                <w:sz w:val="22"/>
              </w:rPr>
            </w:pPr>
            <w:r>
              <w:rPr>
                <w:b/>
                <w:sz w:val="22"/>
              </w:rPr>
              <w:t>Hardoi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Legend</w:t>
            </w:r>
          </w:p>
        </w:tc>
        <w:tc>
          <w:tcPr>
            <w:tcW w:w="2175" w:type="dxa"/>
          </w:tcPr>
          <w:p>
            <w:pPr>
              <w:pStyle w:val="TableParagraph"/>
              <w:spacing w:before="12"/>
              <w:rPr>
                <w:b/>
                <w:sz w:val="22"/>
              </w:rPr>
            </w:pPr>
            <w:r>
              <w:rPr>
                <w:b/>
                <w:sz w:val="22"/>
              </w:rPr>
              <w:t>Cachar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Legend</w:t>
            </w:r>
          </w:p>
        </w:tc>
        <w:tc>
          <w:tcPr>
            <w:tcW w:w="2340" w:type="dxa"/>
          </w:tcPr>
          <w:p>
            <w:pPr>
              <w:pStyle w:val="TableParagraph"/>
              <w:tabs>
                <w:tab w:pos="1941" w:val="left" w:leader="none"/>
              </w:tabs>
              <w:spacing w:line="276" w:lineRule="auto" w:before="12"/>
              <w:ind w:righ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Interpretation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4"/>
                <w:sz w:val="22"/>
              </w:rPr>
              <w:t>fo</w:t>
            </w:r>
            <w:r>
              <w:rPr>
                <w:b/>
                <w:spacing w:val="-4"/>
                <w:sz w:val="22"/>
              </w:rPr>
              <w:t>r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comparison</w:t>
            </w:r>
          </w:p>
        </w:tc>
      </w:tr>
      <w:tr>
        <w:trPr>
          <w:trHeight w:val="630" w:hRule="atLeast"/>
        </w:trPr>
        <w:tc>
          <w:tcPr>
            <w:tcW w:w="2175" w:type="dxa"/>
          </w:tcPr>
          <w:p>
            <w:pPr>
              <w:pStyle w:val="TableParagraph"/>
              <w:spacing w:before="12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175" w:type="dxa"/>
          </w:tcPr>
          <w:p>
            <w:pPr>
              <w:pStyle w:val="TableParagraph"/>
              <w:spacing w:before="12"/>
              <w:rPr>
                <w:sz w:val="22"/>
              </w:rPr>
            </w:pPr>
            <w:r>
              <w:rPr>
                <w:sz w:val="22"/>
              </w:rPr>
              <w:t>Very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Low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Risk</w:t>
            </w:r>
          </w:p>
        </w:tc>
        <w:tc>
          <w:tcPr>
            <w:tcW w:w="2175" w:type="dxa"/>
          </w:tcPr>
          <w:p>
            <w:pPr>
              <w:pStyle w:val="TableParagraph"/>
              <w:spacing w:before="12"/>
              <w:rPr>
                <w:sz w:val="22"/>
              </w:rPr>
            </w:pPr>
            <w:r>
              <w:rPr>
                <w:spacing w:val="-5"/>
                <w:sz w:val="22"/>
              </w:rPr>
              <w:t>Very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Low</w:t>
            </w:r>
          </w:p>
        </w:tc>
        <w:tc>
          <w:tcPr>
            <w:tcW w:w="2340" w:type="dxa"/>
          </w:tcPr>
          <w:p>
            <w:pPr>
              <w:pStyle w:val="TableParagraph"/>
              <w:tabs>
                <w:tab w:pos="1519" w:val="left" w:leader="none"/>
              </w:tabs>
              <w:spacing w:line="276" w:lineRule="auto" w:before="12"/>
              <w:ind w:right="107"/>
              <w:rPr>
                <w:sz w:val="22"/>
              </w:rPr>
            </w:pPr>
            <w:r>
              <w:rPr>
                <w:spacing w:val="-2"/>
                <w:sz w:val="22"/>
              </w:rPr>
              <w:t>Lowest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mappe</w:t>
            </w:r>
            <w:r>
              <w:rPr>
                <w:spacing w:val="-2"/>
                <w:sz w:val="22"/>
              </w:rPr>
              <w:t>d</w:t>
            </w:r>
            <w:r>
              <w:rPr>
                <w:spacing w:val="-2"/>
                <w:sz w:val="22"/>
              </w:rPr>
              <w:t> category</w:t>
            </w:r>
          </w:p>
        </w:tc>
      </w:tr>
      <w:tr>
        <w:trPr>
          <w:trHeight w:val="420" w:hRule="atLeast"/>
        </w:trPr>
        <w:tc>
          <w:tcPr>
            <w:tcW w:w="2175" w:type="dxa"/>
          </w:tcPr>
          <w:p>
            <w:pPr>
              <w:pStyle w:val="TableParagraph"/>
              <w:spacing w:before="12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175" w:type="dxa"/>
          </w:tcPr>
          <w:p>
            <w:pPr>
              <w:pStyle w:val="TableParagraph"/>
              <w:spacing w:before="12"/>
              <w:rPr>
                <w:sz w:val="22"/>
              </w:rPr>
            </w:pPr>
            <w:r>
              <w:rPr>
                <w:sz w:val="22"/>
              </w:rPr>
              <w:t>Low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Risk</w:t>
            </w:r>
          </w:p>
        </w:tc>
        <w:tc>
          <w:tcPr>
            <w:tcW w:w="2175" w:type="dxa"/>
          </w:tcPr>
          <w:p>
            <w:pPr>
              <w:pStyle w:val="TableParagraph"/>
              <w:spacing w:before="12"/>
              <w:rPr>
                <w:sz w:val="22"/>
              </w:rPr>
            </w:pPr>
            <w:r>
              <w:rPr>
                <w:spacing w:val="-5"/>
                <w:sz w:val="22"/>
              </w:rPr>
              <w:t>Low</w:t>
            </w:r>
          </w:p>
        </w:tc>
        <w:tc>
          <w:tcPr>
            <w:tcW w:w="2340" w:type="dxa"/>
          </w:tcPr>
          <w:p>
            <w:pPr>
              <w:pStyle w:val="TableParagraph"/>
              <w:spacing w:before="12"/>
              <w:rPr>
                <w:sz w:val="22"/>
              </w:rPr>
            </w:pPr>
            <w:r>
              <w:rPr>
                <w:sz w:val="22"/>
              </w:rPr>
              <w:t>Low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mapped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category</w:t>
            </w:r>
          </w:p>
        </w:tc>
      </w:tr>
      <w:tr>
        <w:trPr>
          <w:trHeight w:val="735" w:hRule="atLeast"/>
        </w:trPr>
        <w:tc>
          <w:tcPr>
            <w:tcW w:w="2175" w:type="dxa"/>
          </w:tcPr>
          <w:p>
            <w:pPr>
              <w:pStyle w:val="TableParagraph"/>
              <w:spacing w:before="12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175" w:type="dxa"/>
          </w:tcPr>
          <w:p>
            <w:pPr>
              <w:pStyle w:val="TableParagraph"/>
              <w:spacing w:before="12"/>
              <w:rPr>
                <w:sz w:val="22"/>
              </w:rPr>
            </w:pPr>
            <w:r>
              <w:rPr>
                <w:sz w:val="22"/>
              </w:rPr>
              <w:t>Moderate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Risk</w:t>
            </w:r>
          </w:p>
        </w:tc>
        <w:tc>
          <w:tcPr>
            <w:tcW w:w="2175" w:type="dxa"/>
          </w:tcPr>
          <w:p>
            <w:pPr>
              <w:pStyle w:val="TableParagraph"/>
              <w:spacing w:before="12"/>
              <w:rPr>
                <w:sz w:val="22"/>
              </w:rPr>
            </w:pPr>
            <w:r>
              <w:rPr>
                <w:spacing w:val="-2"/>
                <w:sz w:val="22"/>
              </w:rPr>
              <w:t>Moderate</w:t>
            </w:r>
          </w:p>
        </w:tc>
        <w:tc>
          <w:tcPr>
            <w:tcW w:w="2340" w:type="dxa"/>
          </w:tcPr>
          <w:p>
            <w:pPr>
              <w:pStyle w:val="TableParagraph"/>
              <w:tabs>
                <w:tab w:pos="1518" w:val="left" w:leader="none"/>
              </w:tabs>
              <w:spacing w:line="276" w:lineRule="auto" w:before="12"/>
              <w:ind w:right="108"/>
              <w:rPr>
                <w:sz w:val="22"/>
              </w:rPr>
            </w:pPr>
            <w:r>
              <w:rPr>
                <w:spacing w:val="-2"/>
                <w:sz w:val="22"/>
              </w:rPr>
              <w:t>Intermediate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mappe</w:t>
            </w:r>
            <w:r>
              <w:rPr>
                <w:spacing w:val="-2"/>
                <w:sz w:val="22"/>
              </w:rPr>
              <w:t>d</w:t>
            </w:r>
            <w:r>
              <w:rPr>
                <w:spacing w:val="-2"/>
                <w:sz w:val="22"/>
              </w:rPr>
              <w:t> category</w:t>
            </w:r>
          </w:p>
        </w:tc>
      </w:tr>
      <w:tr>
        <w:trPr>
          <w:trHeight w:val="735" w:hRule="atLeast"/>
        </w:trPr>
        <w:tc>
          <w:tcPr>
            <w:tcW w:w="2175" w:type="dxa"/>
          </w:tcPr>
          <w:p>
            <w:pPr>
              <w:pStyle w:val="TableParagraph"/>
              <w:spacing w:before="12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2175" w:type="dxa"/>
          </w:tcPr>
          <w:p>
            <w:pPr>
              <w:pStyle w:val="TableParagraph"/>
              <w:spacing w:before="12"/>
              <w:rPr>
                <w:sz w:val="22"/>
              </w:rPr>
            </w:pPr>
            <w:r>
              <w:rPr>
                <w:sz w:val="22"/>
              </w:rPr>
              <w:t>High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Risk</w:t>
            </w:r>
          </w:p>
        </w:tc>
        <w:tc>
          <w:tcPr>
            <w:tcW w:w="2175" w:type="dxa"/>
          </w:tcPr>
          <w:p>
            <w:pPr>
              <w:pStyle w:val="TableParagraph"/>
              <w:spacing w:before="12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2340" w:type="dxa"/>
          </w:tcPr>
          <w:p>
            <w:pPr>
              <w:pStyle w:val="TableParagraph"/>
              <w:tabs>
                <w:tab w:pos="1521" w:val="left" w:leader="none"/>
              </w:tabs>
              <w:spacing w:line="276" w:lineRule="auto" w:before="12"/>
              <w:ind w:right="105"/>
              <w:rPr>
                <w:sz w:val="22"/>
              </w:rPr>
            </w:pPr>
            <w:r>
              <w:rPr>
                <w:spacing w:val="-2"/>
                <w:sz w:val="22"/>
              </w:rPr>
              <w:t>Elevated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mappe</w:t>
            </w:r>
            <w:r>
              <w:rPr>
                <w:spacing w:val="-2"/>
                <w:sz w:val="22"/>
              </w:rPr>
              <w:t>d</w:t>
            </w:r>
            <w:r>
              <w:rPr>
                <w:spacing w:val="-2"/>
                <w:sz w:val="22"/>
              </w:rPr>
              <w:t> category</w:t>
            </w:r>
          </w:p>
        </w:tc>
      </w:tr>
      <w:tr>
        <w:trPr>
          <w:trHeight w:val="735" w:hRule="atLeast"/>
        </w:trPr>
        <w:tc>
          <w:tcPr>
            <w:tcW w:w="2175" w:type="dxa"/>
          </w:tcPr>
          <w:p>
            <w:pPr>
              <w:pStyle w:val="TableParagraph"/>
              <w:spacing w:before="12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2175" w:type="dxa"/>
          </w:tcPr>
          <w:p>
            <w:pPr>
              <w:pStyle w:val="TableParagraph"/>
              <w:spacing w:before="12"/>
              <w:rPr>
                <w:sz w:val="22"/>
              </w:rPr>
            </w:pPr>
            <w:r>
              <w:rPr>
                <w:sz w:val="22"/>
              </w:rPr>
              <w:t>Very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High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Risk</w:t>
            </w:r>
          </w:p>
        </w:tc>
        <w:tc>
          <w:tcPr>
            <w:tcW w:w="2175" w:type="dxa"/>
          </w:tcPr>
          <w:p>
            <w:pPr>
              <w:pStyle w:val="TableParagraph"/>
              <w:spacing w:before="12"/>
              <w:rPr>
                <w:sz w:val="22"/>
              </w:rPr>
            </w:pPr>
            <w:r>
              <w:rPr>
                <w:spacing w:val="-5"/>
                <w:sz w:val="22"/>
              </w:rPr>
              <w:t>Very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2340" w:type="dxa"/>
          </w:tcPr>
          <w:p>
            <w:pPr>
              <w:pStyle w:val="TableParagraph"/>
              <w:tabs>
                <w:tab w:pos="1526" w:val="left" w:leader="none"/>
              </w:tabs>
              <w:spacing w:line="276" w:lineRule="auto" w:before="12"/>
              <w:ind w:right="100"/>
              <w:rPr>
                <w:sz w:val="22"/>
              </w:rPr>
            </w:pPr>
            <w:r>
              <w:rPr>
                <w:spacing w:val="-2"/>
                <w:sz w:val="22"/>
              </w:rPr>
              <w:t>Highest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mappe</w:t>
            </w:r>
            <w:r>
              <w:rPr>
                <w:spacing w:val="-2"/>
                <w:sz w:val="22"/>
              </w:rPr>
              <w:t>d</w:t>
            </w:r>
            <w:r>
              <w:rPr>
                <w:spacing w:val="-2"/>
                <w:sz w:val="22"/>
              </w:rPr>
              <w:t> category</w:t>
            </w:r>
          </w:p>
        </w:tc>
      </w:tr>
    </w:tbl>
    <w:p>
      <w:pPr>
        <w:pStyle w:val="BodyText"/>
        <w:spacing w:line="276" w:lineRule="auto" w:before="212"/>
        <w:ind w:right="719"/>
      </w:pPr>
      <w:r>
        <w:rPr/>
        <w:t>The key methodological rule is that ordinal standardization permits comparison of class position but </w:t>
      </w:r>
      <w:r>
        <w:rPr/>
        <w:t>not</w:t>
      </w:r>
      <w:r>
        <w:rPr/>
        <w:t> comparison of numerical score magnitude. For example, a Very</w:t>
      </w:r>
      <w:r>
        <w:rPr>
          <w:spacing w:val="-4"/>
        </w:rPr>
        <w:t> </w:t>
      </w:r>
      <w:r>
        <w:rPr/>
        <w:t>High</w:t>
      </w:r>
      <w:r>
        <w:rPr>
          <w:spacing w:val="-4"/>
        </w:rPr>
        <w:t> </w:t>
      </w:r>
      <w:r>
        <w:rPr/>
        <w:t>value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Hardoi</w:t>
      </w:r>
      <w:r>
        <w:rPr>
          <w:spacing w:val="-4"/>
        </w:rPr>
        <w:t> </w:t>
      </w:r>
      <w:r>
        <w:rPr/>
        <w:t>cannot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assumed</w:t>
      </w:r>
      <w:r>
        <w:rPr/>
        <w:t> to represent the same numerical susceptibility range as Very High in Cachar.</w:t>
      </w:r>
    </w:p>
    <w:p>
      <w:pPr>
        <w:pStyle w:val="BodyText"/>
        <w:spacing w:after="0" w:line="276" w:lineRule="auto"/>
        <w:sectPr>
          <w:pgSz w:w="12240" w:h="15840"/>
          <w:pgMar w:header="727" w:footer="0" w:top="1340" w:bottom="280" w:left="1440" w:right="720"/>
        </w:sectPr>
      </w:pPr>
    </w:p>
    <w:p>
      <w:pPr>
        <w:pStyle w:val="Heading2"/>
        <w:numPr>
          <w:ilvl w:val="1"/>
          <w:numId w:val="5"/>
        </w:numPr>
        <w:tabs>
          <w:tab w:pos="419" w:val="left" w:leader="none"/>
        </w:tabs>
        <w:spacing w:line="240" w:lineRule="auto" w:before="80" w:after="0"/>
        <w:ind w:left="419" w:right="0" w:hanging="419"/>
        <w:jc w:val="left"/>
      </w:pPr>
      <w:r>
        <w:rPr/>
        <w:t>Spatial</w:t>
      </w:r>
      <w:r>
        <w:rPr>
          <w:spacing w:val="-1"/>
        </w:rPr>
        <w:t> </w:t>
      </w:r>
      <w:r>
        <w:rPr/>
        <w:t>Pattern</w:t>
      </w:r>
      <w:r>
        <w:rPr>
          <w:spacing w:val="-1"/>
        </w:rPr>
        <w:t> </w:t>
      </w:r>
      <w:r>
        <w:rPr>
          <w:spacing w:val="-2"/>
        </w:rPr>
        <w:t>Analysis</w:t>
      </w:r>
    </w:p>
    <w:p>
      <w:pPr>
        <w:pStyle w:val="BodyText"/>
        <w:spacing w:line="276" w:lineRule="auto" w:before="249"/>
        <w:ind w:right="723"/>
      </w:pPr>
      <w:r>
        <w:rPr/>
        <w:t>Spatial pattern analysis was performed through visual interpretation of the supplied map images. </w:t>
      </w:r>
      <w:r>
        <w:rPr/>
        <w:t>Four</w:t>
      </w:r>
      <w:r>
        <w:rPr/>
        <w:t> pattern characteristics were recorded: cluster density, corridor alignment, edge-to-interior contrast </w:t>
      </w:r>
      <w:r>
        <w:rPr/>
        <w:t>and</w:t>
      </w:r>
      <w:r>
        <w:rPr/>
        <w:t> transition smoothness.</w:t>
      </w:r>
    </w:p>
    <w:p>
      <w:pPr>
        <w:pStyle w:val="ListParagraph"/>
        <w:numPr>
          <w:ilvl w:val="2"/>
          <w:numId w:val="5"/>
        </w:numPr>
        <w:tabs>
          <w:tab w:pos="720" w:val="left" w:leader="none"/>
        </w:tabs>
        <w:spacing w:line="336" w:lineRule="auto" w:before="0" w:after="0"/>
        <w:ind w:left="720" w:right="730" w:hanging="360"/>
        <w:jc w:val="left"/>
        <w:rPr>
          <w:sz w:val="22"/>
        </w:rPr>
      </w:pPr>
      <w:r>
        <w:rPr>
          <w:sz w:val="22"/>
        </w:rPr>
        <w:t>Cluster density: number and visual concentration of</w:t>
      </w:r>
      <w:r>
        <w:rPr>
          <w:spacing w:val="-4"/>
          <w:sz w:val="22"/>
        </w:rPr>
        <w:t> </w:t>
      </w:r>
      <w:r>
        <w:rPr>
          <w:sz w:val="22"/>
        </w:rPr>
        <w:t>high-intensity</w:t>
      </w:r>
      <w:r>
        <w:rPr>
          <w:spacing w:val="-4"/>
          <w:sz w:val="22"/>
        </w:rPr>
        <w:t> </w:t>
      </w:r>
      <w:r>
        <w:rPr>
          <w:sz w:val="22"/>
        </w:rPr>
        <w:t>patches</w:t>
      </w:r>
      <w:r>
        <w:rPr>
          <w:spacing w:val="-4"/>
          <w:sz w:val="22"/>
        </w:rPr>
        <w:t> </w:t>
      </w:r>
      <w:r>
        <w:rPr>
          <w:sz w:val="22"/>
        </w:rPr>
        <w:t>within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broad</w:t>
      </w:r>
      <w:r>
        <w:rPr>
          <w:spacing w:val="-4"/>
          <w:sz w:val="22"/>
        </w:rPr>
        <w:t> </w:t>
      </w:r>
      <w:r>
        <w:rPr>
          <w:sz w:val="22"/>
        </w:rPr>
        <w:t>district</w:t>
      </w:r>
      <w:r>
        <w:rPr>
          <w:sz w:val="22"/>
        </w:rPr>
        <w:t> </w:t>
      </w:r>
      <w:r>
        <w:rPr>
          <w:spacing w:val="-2"/>
          <w:sz w:val="22"/>
        </w:rPr>
        <w:t>sector.</w:t>
      </w:r>
    </w:p>
    <w:p>
      <w:pPr>
        <w:pStyle w:val="ListParagraph"/>
        <w:numPr>
          <w:ilvl w:val="2"/>
          <w:numId w:val="5"/>
        </w:numPr>
        <w:tabs>
          <w:tab w:pos="720" w:val="left" w:leader="none"/>
        </w:tabs>
        <w:spacing w:line="336" w:lineRule="auto" w:before="0" w:after="0"/>
        <w:ind w:left="720" w:right="732" w:hanging="360"/>
        <w:jc w:val="left"/>
        <w:rPr>
          <w:sz w:val="22"/>
        </w:rPr>
      </w:pPr>
      <w:r>
        <w:rPr>
          <w:sz w:val="22"/>
        </w:rPr>
        <w:t>Corridor</w:t>
      </w:r>
      <w:r>
        <w:rPr>
          <w:spacing w:val="40"/>
          <w:sz w:val="22"/>
        </w:rPr>
        <w:t> </w:t>
      </w:r>
      <w:r>
        <w:rPr>
          <w:sz w:val="22"/>
        </w:rPr>
        <w:t>alignment:</w:t>
      </w:r>
      <w:r>
        <w:rPr>
          <w:spacing w:val="40"/>
          <w:sz w:val="22"/>
        </w:rPr>
        <w:t> </w:t>
      </w:r>
      <w:r>
        <w:rPr>
          <w:sz w:val="22"/>
        </w:rPr>
        <w:t>elongated</w:t>
      </w:r>
      <w:r>
        <w:rPr>
          <w:spacing w:val="40"/>
          <w:sz w:val="22"/>
        </w:rPr>
        <w:t> </w:t>
      </w:r>
      <w:r>
        <w:rPr>
          <w:sz w:val="22"/>
        </w:rPr>
        <w:t>high-intensity</w:t>
      </w:r>
      <w:r>
        <w:rPr>
          <w:spacing w:val="40"/>
          <w:sz w:val="22"/>
        </w:rPr>
        <w:t> </w:t>
      </w:r>
      <w:r>
        <w:rPr>
          <w:sz w:val="22"/>
        </w:rPr>
        <w:t>features</w:t>
      </w:r>
      <w:r>
        <w:rPr>
          <w:spacing w:val="40"/>
          <w:sz w:val="22"/>
        </w:rPr>
        <w:t> </w:t>
      </w:r>
      <w:r>
        <w:rPr>
          <w:sz w:val="22"/>
        </w:rPr>
        <w:t>that</w:t>
      </w:r>
      <w:r>
        <w:rPr>
          <w:spacing w:val="40"/>
          <w:sz w:val="22"/>
        </w:rPr>
        <w:t> </w:t>
      </w:r>
      <w:r>
        <w:rPr>
          <w:sz w:val="22"/>
        </w:rPr>
        <w:t>appear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follow</w:t>
      </w:r>
      <w:r>
        <w:rPr>
          <w:spacing w:val="40"/>
          <w:sz w:val="22"/>
        </w:rPr>
        <w:t> </w:t>
      </w:r>
      <w:r>
        <w:rPr>
          <w:sz w:val="22"/>
        </w:rPr>
        <w:t>drainage,</w:t>
      </w:r>
      <w:r>
        <w:rPr>
          <w:spacing w:val="40"/>
          <w:sz w:val="22"/>
        </w:rPr>
        <w:t> </w:t>
      </w:r>
      <w:r>
        <w:rPr>
          <w:sz w:val="22"/>
        </w:rPr>
        <w:t>river</w:t>
      </w:r>
      <w:r>
        <w:rPr>
          <w:spacing w:val="26"/>
          <w:sz w:val="22"/>
        </w:rPr>
        <w:t> </w:t>
      </w:r>
      <w:r>
        <w:rPr>
          <w:sz w:val="22"/>
        </w:rPr>
        <w:t>or</w:t>
      </w:r>
      <w:r>
        <w:rPr>
          <w:sz w:val="22"/>
        </w:rPr>
        <w:t> terrain structures.</w:t>
      </w:r>
    </w:p>
    <w:p>
      <w:pPr>
        <w:pStyle w:val="ListParagraph"/>
        <w:numPr>
          <w:ilvl w:val="2"/>
          <w:numId w:val="5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Edge-to-interior</w:t>
      </w:r>
      <w:r>
        <w:rPr>
          <w:spacing w:val="-2"/>
          <w:sz w:val="22"/>
        </w:rPr>
        <w:t> </w:t>
      </w:r>
      <w:r>
        <w:rPr>
          <w:sz w:val="22"/>
        </w:rPr>
        <w:t>contrast:</w:t>
      </w:r>
      <w:r>
        <w:rPr>
          <w:spacing w:val="-1"/>
          <w:sz w:val="22"/>
        </w:rPr>
        <w:t> </w:t>
      </w:r>
      <w:r>
        <w:rPr>
          <w:sz w:val="22"/>
        </w:rPr>
        <w:t>difference</w:t>
      </w:r>
      <w:r>
        <w:rPr>
          <w:spacing w:val="-2"/>
          <w:sz w:val="22"/>
        </w:rPr>
        <w:t> </w:t>
      </w:r>
      <w:r>
        <w:rPr>
          <w:sz w:val="22"/>
        </w:rPr>
        <w:t>between</w:t>
      </w:r>
      <w:r>
        <w:rPr>
          <w:spacing w:val="-1"/>
          <w:sz w:val="22"/>
        </w:rPr>
        <w:t> </w:t>
      </w:r>
      <w:r>
        <w:rPr>
          <w:sz w:val="22"/>
        </w:rPr>
        <w:t>peripheral</w:t>
      </w:r>
      <w:r>
        <w:rPr>
          <w:spacing w:val="-1"/>
          <w:sz w:val="22"/>
        </w:rPr>
        <w:t> </w:t>
      </w:r>
      <w:r>
        <w:rPr>
          <w:sz w:val="22"/>
        </w:rPr>
        <w:t>lower</w:t>
      </w:r>
      <w:r>
        <w:rPr>
          <w:spacing w:val="-2"/>
          <w:sz w:val="22"/>
        </w:rPr>
        <w:t> </w:t>
      </w:r>
      <w:r>
        <w:rPr>
          <w:sz w:val="22"/>
        </w:rPr>
        <w:t>classes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central</w:t>
      </w:r>
      <w:r>
        <w:rPr>
          <w:spacing w:val="-1"/>
          <w:sz w:val="22"/>
        </w:rPr>
        <w:t> </w:t>
      </w:r>
      <w:r>
        <w:rPr>
          <w:sz w:val="22"/>
        </w:rPr>
        <w:t>higher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classes.</w:t>
      </w:r>
    </w:p>
    <w:p>
      <w:pPr>
        <w:pStyle w:val="ListParagraph"/>
        <w:numPr>
          <w:ilvl w:val="2"/>
          <w:numId w:val="5"/>
        </w:numPr>
        <w:tabs>
          <w:tab w:pos="720" w:val="left" w:leader="none"/>
        </w:tabs>
        <w:spacing w:line="336" w:lineRule="auto" w:before="102" w:after="0"/>
        <w:ind w:left="720" w:right="730" w:hanging="360"/>
        <w:jc w:val="left"/>
        <w:rPr>
          <w:sz w:val="22"/>
        </w:rPr>
      </w:pPr>
      <w:r>
        <w:rPr>
          <w:sz w:val="22"/>
        </w:rPr>
        <w:t>Transition</w:t>
      </w:r>
      <w:r>
        <w:rPr>
          <w:spacing w:val="40"/>
          <w:sz w:val="22"/>
        </w:rPr>
        <w:t> </w:t>
      </w:r>
      <w:r>
        <w:rPr>
          <w:sz w:val="22"/>
        </w:rPr>
        <w:t>smoothness:</w:t>
      </w:r>
      <w:r>
        <w:rPr>
          <w:spacing w:val="40"/>
          <w:sz w:val="22"/>
        </w:rPr>
        <w:t> </w:t>
      </w:r>
      <w:r>
        <w:rPr>
          <w:sz w:val="22"/>
        </w:rPr>
        <w:t>whether</w:t>
      </w:r>
      <w:r>
        <w:rPr>
          <w:spacing w:val="40"/>
          <w:sz w:val="22"/>
        </w:rPr>
        <w:t> </w:t>
      </w:r>
      <w:r>
        <w:rPr>
          <w:sz w:val="22"/>
        </w:rPr>
        <w:t>classes</w:t>
      </w:r>
      <w:r>
        <w:rPr>
          <w:spacing w:val="40"/>
          <w:sz w:val="22"/>
        </w:rPr>
        <w:t> </w:t>
      </w:r>
      <w:r>
        <w:rPr>
          <w:sz w:val="22"/>
        </w:rPr>
        <w:t>change</w:t>
      </w:r>
      <w:r>
        <w:rPr>
          <w:spacing w:val="40"/>
          <w:sz w:val="22"/>
        </w:rPr>
        <w:t> </w:t>
      </w:r>
      <w:r>
        <w:rPr>
          <w:sz w:val="22"/>
        </w:rPr>
        <w:t>gradually</w:t>
      </w:r>
      <w:r>
        <w:rPr>
          <w:spacing w:val="40"/>
          <w:sz w:val="22"/>
        </w:rPr>
        <w:t> </w:t>
      </w:r>
      <w:r>
        <w:rPr>
          <w:sz w:val="22"/>
        </w:rPr>
        <w:t>across</w:t>
      </w:r>
      <w:r>
        <w:rPr>
          <w:spacing w:val="40"/>
          <w:sz w:val="22"/>
        </w:rPr>
        <w:t> </w:t>
      </w:r>
      <w:r>
        <w:rPr>
          <w:sz w:val="22"/>
        </w:rPr>
        <w:t>space</w:t>
      </w:r>
      <w:r>
        <w:rPr>
          <w:spacing w:val="40"/>
          <w:sz w:val="22"/>
        </w:rPr>
        <w:t> </w:t>
      </w:r>
      <w:r>
        <w:rPr>
          <w:sz w:val="22"/>
        </w:rPr>
        <w:t>or</w:t>
      </w:r>
      <w:r>
        <w:rPr>
          <w:spacing w:val="40"/>
          <w:sz w:val="22"/>
        </w:rPr>
        <w:t> </w:t>
      </w:r>
      <w:r>
        <w:rPr>
          <w:sz w:val="22"/>
        </w:rPr>
        <w:t>appear</w:t>
      </w:r>
      <w:r>
        <w:rPr>
          <w:spacing w:val="40"/>
          <w:sz w:val="22"/>
        </w:rPr>
        <w:t> </w:t>
      </w:r>
      <w:r>
        <w:rPr>
          <w:sz w:val="22"/>
        </w:rPr>
        <w:t>as</w:t>
      </w:r>
      <w:r>
        <w:rPr>
          <w:spacing w:val="40"/>
          <w:sz w:val="22"/>
        </w:rPr>
        <w:t> </w:t>
      </w:r>
      <w:r>
        <w:rPr>
          <w:sz w:val="22"/>
        </w:rPr>
        <w:t>sharply</w:t>
      </w:r>
      <w:r>
        <w:rPr>
          <w:sz w:val="22"/>
        </w:rPr>
        <w:t> bounded patches.</w:t>
      </w:r>
    </w:p>
    <w:p>
      <w:pPr>
        <w:pStyle w:val="BodyText"/>
        <w:spacing w:line="276" w:lineRule="auto"/>
        <w:ind w:right="732"/>
      </w:pPr>
      <w:r>
        <w:rPr/>
        <w:t>The</w:t>
      </w:r>
      <w:r>
        <w:rPr>
          <w:spacing w:val="40"/>
        </w:rPr>
        <w:t> </w:t>
      </w:r>
      <w:r>
        <w:rPr/>
        <w:t>approach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appropriate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available</w:t>
      </w:r>
      <w:r>
        <w:rPr>
          <w:spacing w:val="40"/>
        </w:rPr>
        <w:t> </w:t>
      </w:r>
      <w:r>
        <w:rPr/>
        <w:t>evidence</w:t>
      </w:r>
      <w:r>
        <w:rPr>
          <w:spacing w:val="40"/>
        </w:rPr>
        <w:t> </w:t>
      </w:r>
      <w:r>
        <w:rPr/>
        <w:t>but</w:t>
      </w:r>
      <w:r>
        <w:rPr>
          <w:spacing w:val="40"/>
        </w:rPr>
        <w:t> </w:t>
      </w:r>
      <w:r>
        <w:rPr/>
        <w:t>should</w:t>
      </w:r>
      <w:r>
        <w:rPr>
          <w:spacing w:val="40"/>
        </w:rPr>
        <w:t> </w:t>
      </w:r>
      <w:r>
        <w:rPr/>
        <w:t>not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mistaken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formal</w:t>
      </w:r>
      <w:r>
        <w:rPr/>
        <w:t> spatial-statistical test. A formal test would require the original raster cells and spatial coordinates.</w:t>
      </w:r>
    </w:p>
    <w:p>
      <w:pPr>
        <w:pStyle w:val="Heading2"/>
        <w:numPr>
          <w:ilvl w:val="1"/>
          <w:numId w:val="5"/>
        </w:numPr>
        <w:tabs>
          <w:tab w:pos="419" w:val="left" w:leader="none"/>
        </w:tabs>
        <w:spacing w:line="240" w:lineRule="auto" w:before="200" w:after="0"/>
        <w:ind w:left="419" w:right="0" w:hanging="419"/>
        <w:jc w:val="left"/>
      </w:pPr>
      <w:r>
        <w:rPr/>
        <w:t>Comparative</w:t>
      </w:r>
      <w:r>
        <w:rPr>
          <w:spacing w:val="-3"/>
        </w:rPr>
        <w:t> </w:t>
      </w:r>
      <w:r>
        <w:rPr>
          <w:spacing w:val="-2"/>
        </w:rPr>
        <w:t>Analysis</w:t>
      </w:r>
    </w:p>
    <w:p>
      <w:pPr>
        <w:pStyle w:val="BodyText"/>
        <w:spacing w:line="276" w:lineRule="auto" w:before="49"/>
        <w:ind w:right="722"/>
      </w:pPr>
      <w:r>
        <w:rPr/>
        <w:t>The comparative framework uses a matrix containing location, dominant visible classes, higher-</w:t>
      </w:r>
      <w:r>
        <w:rPr/>
        <w:t>risk</w:t>
      </w:r>
      <w:r>
        <w:rPr/>
        <w:t> concentration, low-risk concentration, drainage relationship, cartographic features and data </w:t>
      </w:r>
      <w:r>
        <w:rPr/>
        <w:t>limitations</w:t>
      </w:r>
      <w:r>
        <w:rPr/>
        <w:t>.</w:t>
      </w:r>
      <w:r>
        <w:rPr/>
        <w:t> Each criterion was evaluated independently for Hardoi and Cachar.</w:t>
      </w:r>
    </w:p>
    <w:p>
      <w:pPr>
        <w:pStyle w:val="BodyText"/>
        <w:spacing w:before="8"/>
        <w:jc w:val="left"/>
        <w:rPr>
          <w:sz w:val="16"/>
        </w:rPr>
      </w:pPr>
    </w:p>
    <w:tbl>
      <w:tblPr>
        <w:tblW w:w="0" w:type="auto"/>
        <w:jc w:val="left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55"/>
        <w:gridCol w:w="2910"/>
        <w:gridCol w:w="3000"/>
      </w:tblGrid>
      <w:tr>
        <w:trPr>
          <w:trHeight w:val="375" w:hRule="atLeast"/>
        </w:trPr>
        <w:tc>
          <w:tcPr>
            <w:tcW w:w="2955" w:type="dxa"/>
          </w:tcPr>
          <w:p>
            <w:pPr>
              <w:pStyle w:val="TableParagraph"/>
              <w:spacing w:before="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Criterion</w:t>
            </w:r>
          </w:p>
        </w:tc>
        <w:tc>
          <w:tcPr>
            <w:tcW w:w="2910" w:type="dxa"/>
          </w:tcPr>
          <w:p>
            <w:pPr>
              <w:pStyle w:val="TableParagraph"/>
              <w:spacing w:before="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Hardoi</w:t>
            </w:r>
          </w:p>
        </w:tc>
        <w:tc>
          <w:tcPr>
            <w:tcW w:w="3000" w:type="dxa"/>
          </w:tcPr>
          <w:p>
            <w:pPr>
              <w:pStyle w:val="TableParagraph"/>
              <w:spacing w:before="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Cachar</w:t>
            </w:r>
          </w:p>
        </w:tc>
      </w:tr>
      <w:tr>
        <w:trPr>
          <w:trHeight w:val="615" w:hRule="atLeast"/>
        </w:trPr>
        <w:tc>
          <w:tcPr>
            <w:tcW w:w="2955" w:type="dxa"/>
          </w:tcPr>
          <w:p>
            <w:pPr>
              <w:pStyle w:val="TableParagraph"/>
              <w:spacing w:before="7"/>
              <w:rPr>
                <w:sz w:val="22"/>
              </w:rPr>
            </w:pPr>
            <w:r>
              <w:rPr>
                <w:sz w:val="22"/>
              </w:rPr>
              <w:t>Map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concept</w:t>
            </w:r>
          </w:p>
        </w:tc>
        <w:tc>
          <w:tcPr>
            <w:tcW w:w="2910" w:type="dxa"/>
          </w:tcPr>
          <w:p>
            <w:pPr>
              <w:pStyle w:val="TableParagraph"/>
              <w:spacing w:before="7"/>
              <w:rPr>
                <w:sz w:val="22"/>
              </w:rPr>
            </w:pPr>
            <w:r>
              <w:rPr>
                <w:sz w:val="22"/>
              </w:rPr>
              <w:t>Flood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Risk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Analysis</w:t>
            </w:r>
          </w:p>
        </w:tc>
        <w:tc>
          <w:tcPr>
            <w:tcW w:w="3000" w:type="dxa"/>
          </w:tcPr>
          <w:p>
            <w:pPr>
              <w:pStyle w:val="TableParagraph"/>
              <w:tabs>
                <w:tab w:pos="1715" w:val="left" w:leader="none"/>
              </w:tabs>
              <w:spacing w:line="276" w:lineRule="auto" w:before="7"/>
              <w:ind w:right="107"/>
              <w:rPr>
                <w:sz w:val="22"/>
              </w:rPr>
            </w:pPr>
            <w:r>
              <w:rPr>
                <w:spacing w:val="-2"/>
                <w:sz w:val="22"/>
              </w:rPr>
              <w:t>Flood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Vulnerabilit</w:t>
            </w:r>
            <w:r>
              <w:rPr>
                <w:spacing w:val="-2"/>
                <w:sz w:val="22"/>
              </w:rPr>
              <w:t>y</w:t>
            </w:r>
            <w:r>
              <w:rPr>
                <w:spacing w:val="-2"/>
                <w:sz w:val="22"/>
              </w:rPr>
              <w:t> Assessment</w:t>
            </w:r>
          </w:p>
        </w:tc>
      </w:tr>
      <w:tr>
        <w:trPr>
          <w:trHeight w:val="375" w:hRule="atLeast"/>
        </w:trPr>
        <w:tc>
          <w:tcPr>
            <w:tcW w:w="2955" w:type="dxa"/>
          </w:tcPr>
          <w:p>
            <w:pPr>
              <w:pStyle w:val="TableParagraph"/>
              <w:spacing w:before="7"/>
              <w:rPr>
                <w:sz w:val="22"/>
              </w:rPr>
            </w:pPr>
            <w:r>
              <w:rPr>
                <w:spacing w:val="-2"/>
                <w:sz w:val="22"/>
              </w:rPr>
              <w:t>Classes</w:t>
            </w:r>
          </w:p>
        </w:tc>
        <w:tc>
          <w:tcPr>
            <w:tcW w:w="2910" w:type="dxa"/>
          </w:tcPr>
          <w:p>
            <w:pPr>
              <w:pStyle w:val="TableParagraph"/>
              <w:spacing w:before="7"/>
              <w:rPr>
                <w:sz w:val="22"/>
              </w:rPr>
            </w:pPr>
            <w:r>
              <w:rPr>
                <w:spacing w:val="-4"/>
                <w:sz w:val="22"/>
              </w:rPr>
              <w:t>Very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Low–Very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3000" w:type="dxa"/>
          </w:tcPr>
          <w:p>
            <w:pPr>
              <w:pStyle w:val="TableParagraph"/>
              <w:spacing w:before="7"/>
              <w:rPr>
                <w:sz w:val="22"/>
              </w:rPr>
            </w:pPr>
            <w:r>
              <w:rPr>
                <w:spacing w:val="-4"/>
                <w:sz w:val="22"/>
              </w:rPr>
              <w:t>Very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Low–Very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High</w:t>
            </w:r>
          </w:p>
        </w:tc>
      </w:tr>
      <w:tr>
        <w:trPr>
          <w:trHeight w:val="1095" w:hRule="atLeast"/>
        </w:trPr>
        <w:tc>
          <w:tcPr>
            <w:tcW w:w="2955" w:type="dxa"/>
          </w:tcPr>
          <w:p>
            <w:pPr>
              <w:pStyle w:val="TableParagraph"/>
              <w:spacing w:before="7"/>
              <w:rPr>
                <w:sz w:val="22"/>
              </w:rPr>
            </w:pPr>
            <w:r>
              <w:rPr>
                <w:sz w:val="22"/>
              </w:rPr>
              <w:t>Highest-class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appearance</w:t>
            </w:r>
          </w:p>
        </w:tc>
        <w:tc>
          <w:tcPr>
            <w:tcW w:w="2910" w:type="dxa"/>
          </w:tcPr>
          <w:p>
            <w:pPr>
              <w:pStyle w:val="TableParagraph"/>
              <w:spacing w:line="276" w:lineRule="auto" w:before="7"/>
              <w:rPr>
                <w:sz w:val="22"/>
              </w:rPr>
            </w:pPr>
            <w:r>
              <w:rPr>
                <w:sz w:val="22"/>
              </w:rPr>
              <w:t>Numerous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red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clusters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z w:val="22"/>
              </w:rPr>
              <w:t>d</w:t>
            </w:r>
            <w:r>
              <w:rPr>
                <w:sz w:val="22"/>
              </w:rPr>
              <w:t> elongated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high-intensity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zones</w:t>
            </w:r>
          </w:p>
        </w:tc>
        <w:tc>
          <w:tcPr>
            <w:tcW w:w="3000" w:type="dxa"/>
          </w:tcPr>
          <w:p>
            <w:pPr>
              <w:pStyle w:val="TableParagraph"/>
              <w:tabs>
                <w:tab w:pos="918" w:val="left" w:leader="none"/>
                <w:tab w:pos="1419" w:val="left" w:leader="none"/>
                <w:tab w:pos="2311" w:val="left" w:leader="none"/>
              </w:tabs>
              <w:spacing w:line="276" w:lineRule="auto" w:before="7"/>
              <w:ind w:right="109"/>
              <w:rPr>
                <w:sz w:val="22"/>
              </w:rPr>
            </w:pPr>
            <w:r>
              <w:rPr>
                <w:spacing w:val="-2"/>
                <w:sz w:val="22"/>
              </w:rPr>
              <w:t>Strong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red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clusters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withi</w:t>
            </w:r>
            <w:r>
              <w:rPr>
                <w:spacing w:val="-2"/>
                <w:sz w:val="22"/>
              </w:rPr>
              <w:t>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broader orange-red areas</w:t>
            </w:r>
          </w:p>
        </w:tc>
      </w:tr>
      <w:tr>
        <w:trPr>
          <w:trHeight w:val="915" w:hRule="atLeast"/>
        </w:trPr>
        <w:tc>
          <w:tcPr>
            <w:tcW w:w="2955" w:type="dxa"/>
          </w:tcPr>
          <w:p>
            <w:pPr>
              <w:pStyle w:val="TableParagraph"/>
              <w:spacing w:before="7"/>
              <w:rPr>
                <w:sz w:val="22"/>
              </w:rPr>
            </w:pPr>
            <w:r>
              <w:rPr>
                <w:sz w:val="22"/>
              </w:rPr>
              <w:t>Lower-class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appearance</w:t>
            </w:r>
          </w:p>
        </w:tc>
        <w:tc>
          <w:tcPr>
            <w:tcW w:w="2910" w:type="dxa"/>
          </w:tcPr>
          <w:p>
            <w:pPr>
              <w:pStyle w:val="TableParagraph"/>
              <w:spacing w:line="276" w:lineRule="auto" w:before="7"/>
              <w:ind w:right="96"/>
              <w:jc w:val="both"/>
              <w:rPr>
                <w:sz w:val="22"/>
              </w:rPr>
            </w:pPr>
            <w:r>
              <w:rPr>
                <w:sz w:val="22"/>
              </w:rPr>
              <w:t>Green/blue zones </w:t>
            </w:r>
            <w:r>
              <w:rPr>
                <w:sz w:val="22"/>
              </w:rPr>
              <w:t>visibl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 around and between high-ris</w:t>
            </w:r>
            <w:r>
              <w:rPr>
                <w:sz w:val="22"/>
              </w:rPr>
              <w:t>k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areas</w:t>
            </w:r>
          </w:p>
        </w:tc>
        <w:tc>
          <w:tcPr>
            <w:tcW w:w="3000" w:type="dxa"/>
          </w:tcPr>
          <w:p>
            <w:pPr>
              <w:pStyle w:val="TableParagraph"/>
              <w:spacing w:line="276" w:lineRule="auto" w:before="7"/>
              <w:ind w:right="100"/>
              <w:jc w:val="both"/>
              <w:rPr>
                <w:sz w:val="22"/>
              </w:rPr>
            </w:pPr>
            <w:r>
              <w:rPr>
                <w:sz w:val="22"/>
              </w:rPr>
              <w:t>Green/light zones more </w:t>
            </w:r>
            <w:r>
              <w:rPr>
                <w:sz w:val="22"/>
              </w:rPr>
              <w:t>visibl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 in northern and periphera</w:t>
            </w:r>
            <w:r>
              <w:rPr>
                <w:sz w:val="22"/>
              </w:rPr>
              <w:t>l</w:t>
            </w:r>
            <w:r>
              <w:rPr>
                <w:spacing w:val="80"/>
                <w:sz w:val="22"/>
              </w:rPr>
              <w:t> </w:t>
            </w:r>
            <w:r>
              <w:rPr>
                <w:spacing w:val="-2"/>
                <w:sz w:val="22"/>
              </w:rPr>
              <w:t>areas</w:t>
            </w:r>
          </w:p>
        </w:tc>
      </w:tr>
      <w:tr>
        <w:trPr>
          <w:trHeight w:val="1095" w:hRule="atLeast"/>
        </w:trPr>
        <w:tc>
          <w:tcPr>
            <w:tcW w:w="2955" w:type="dxa"/>
          </w:tcPr>
          <w:p>
            <w:pPr>
              <w:pStyle w:val="TableParagraph"/>
              <w:spacing w:before="7"/>
              <w:rPr>
                <w:sz w:val="22"/>
              </w:rPr>
            </w:pPr>
            <w:r>
              <w:rPr>
                <w:sz w:val="22"/>
              </w:rPr>
              <w:t>Spatial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character</w:t>
            </w:r>
          </w:p>
        </w:tc>
        <w:tc>
          <w:tcPr>
            <w:tcW w:w="2910" w:type="dxa"/>
          </w:tcPr>
          <w:p>
            <w:pPr>
              <w:pStyle w:val="TableParagraph"/>
              <w:spacing w:line="276" w:lineRule="auto" w:before="7"/>
              <w:rPr>
                <w:sz w:val="22"/>
              </w:rPr>
            </w:pPr>
            <w:r>
              <w:rPr>
                <w:sz w:val="22"/>
              </w:rPr>
              <w:t>Patchy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but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strongly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high-</w:t>
            </w:r>
            <w:r>
              <w:rPr>
                <w:sz w:val="22"/>
              </w:rPr>
              <w:t>ris</w:t>
            </w:r>
            <w:r>
              <w:rPr>
                <w:sz w:val="22"/>
              </w:rPr>
              <w:t>k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dominated</w:t>
            </w:r>
          </w:p>
        </w:tc>
        <w:tc>
          <w:tcPr>
            <w:tcW w:w="3000" w:type="dxa"/>
          </w:tcPr>
          <w:p>
            <w:pPr>
              <w:pStyle w:val="TableParagraph"/>
              <w:spacing w:line="276" w:lineRule="auto" w:before="7"/>
              <w:rPr>
                <w:sz w:val="22"/>
              </w:rPr>
            </w:pPr>
            <w:r>
              <w:rPr>
                <w:sz w:val="22"/>
              </w:rPr>
              <w:t>Broad moderate/high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field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wit</w:t>
            </w:r>
            <w:r>
              <w:rPr>
                <w:sz w:val="22"/>
              </w:rPr>
              <w:t>h</w:t>
            </w:r>
            <w:r>
              <w:rPr>
                <w:sz w:val="22"/>
              </w:rPr>
              <w:t> localized very-high clusters</w:t>
            </w:r>
          </w:p>
        </w:tc>
      </w:tr>
      <w:tr>
        <w:trPr>
          <w:trHeight w:val="375" w:hRule="atLeast"/>
        </w:trPr>
        <w:tc>
          <w:tcPr>
            <w:tcW w:w="2955" w:type="dxa"/>
          </w:tcPr>
          <w:p>
            <w:pPr>
              <w:pStyle w:val="TableParagraph"/>
              <w:spacing w:before="7"/>
              <w:rPr>
                <w:sz w:val="22"/>
              </w:rPr>
            </w:pPr>
            <w:r>
              <w:rPr>
                <w:sz w:val="22"/>
              </w:rPr>
              <w:t>Scale-bar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maximum</w:t>
            </w:r>
          </w:p>
        </w:tc>
        <w:tc>
          <w:tcPr>
            <w:tcW w:w="2910" w:type="dxa"/>
          </w:tcPr>
          <w:p>
            <w:pPr>
              <w:pStyle w:val="TableParagraph"/>
              <w:spacing w:before="7"/>
              <w:rPr>
                <w:sz w:val="22"/>
              </w:rPr>
            </w:pPr>
            <w:r>
              <w:rPr>
                <w:sz w:val="22"/>
              </w:rPr>
              <w:t>16.4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km</w:t>
            </w:r>
          </w:p>
        </w:tc>
        <w:tc>
          <w:tcPr>
            <w:tcW w:w="3000" w:type="dxa"/>
          </w:tcPr>
          <w:p>
            <w:pPr>
              <w:pStyle w:val="TableParagraph"/>
              <w:spacing w:before="7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km</w:t>
            </w:r>
          </w:p>
        </w:tc>
      </w:tr>
      <w:tr>
        <w:trPr>
          <w:trHeight w:val="735" w:hRule="atLeast"/>
        </w:trPr>
        <w:tc>
          <w:tcPr>
            <w:tcW w:w="2955" w:type="dxa"/>
          </w:tcPr>
          <w:p>
            <w:pPr>
              <w:pStyle w:val="TableParagraph"/>
              <w:spacing w:before="7"/>
              <w:rPr>
                <w:sz w:val="22"/>
              </w:rPr>
            </w:pPr>
            <w:r>
              <w:rPr>
                <w:sz w:val="22"/>
              </w:rPr>
              <w:t>Cartographic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emphasis</w:t>
            </w:r>
          </w:p>
        </w:tc>
        <w:tc>
          <w:tcPr>
            <w:tcW w:w="2910" w:type="dxa"/>
          </w:tcPr>
          <w:p>
            <w:pPr>
              <w:pStyle w:val="TableParagraph"/>
              <w:spacing w:before="7"/>
              <w:rPr>
                <w:sz w:val="22"/>
              </w:rPr>
            </w:pPr>
            <w:r>
              <w:rPr>
                <w:sz w:val="22"/>
              </w:rPr>
              <w:t>Simple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district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risk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map</w:t>
            </w:r>
          </w:p>
        </w:tc>
        <w:tc>
          <w:tcPr>
            <w:tcW w:w="3000" w:type="dxa"/>
          </w:tcPr>
          <w:p>
            <w:pPr>
              <w:pStyle w:val="TableParagraph"/>
              <w:tabs>
                <w:tab w:pos="1786" w:val="left" w:leader="none"/>
                <w:tab w:pos="2752" w:val="left" w:leader="none"/>
              </w:tabs>
              <w:spacing w:line="276" w:lineRule="auto" w:before="7"/>
              <w:ind w:right="106"/>
              <w:rPr>
                <w:sz w:val="22"/>
              </w:rPr>
            </w:pPr>
            <w:r>
              <w:rPr>
                <w:spacing w:val="-2"/>
                <w:sz w:val="22"/>
              </w:rPr>
              <w:t>Administrative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district</w:t>
            </w:r>
            <w:r>
              <w:rPr>
                <w:sz w:val="22"/>
              </w:rPr>
              <w:tab/>
            </w:r>
            <w:r>
              <w:rPr>
                <w:spacing w:val="-10"/>
                <w:sz w:val="22"/>
              </w:rPr>
              <w:t>+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vulnerability presentation</w:t>
            </w:r>
          </w:p>
        </w:tc>
      </w:tr>
      <w:tr>
        <w:trPr>
          <w:trHeight w:val="735" w:hRule="atLeast"/>
        </w:trPr>
        <w:tc>
          <w:tcPr>
            <w:tcW w:w="2955" w:type="dxa"/>
          </w:tcPr>
          <w:p>
            <w:pPr>
              <w:pStyle w:val="TableParagraph"/>
              <w:tabs>
                <w:tab w:pos="1046" w:val="left" w:leader="none"/>
                <w:tab w:pos="1812" w:val="left" w:leader="none"/>
              </w:tabs>
              <w:spacing w:line="276" w:lineRule="auto" w:before="7"/>
              <w:ind w:right="99"/>
              <w:rPr>
                <w:sz w:val="22"/>
              </w:rPr>
            </w:pPr>
            <w:r>
              <w:rPr>
                <w:spacing w:val="-2"/>
                <w:sz w:val="22"/>
              </w:rPr>
              <w:t>Direct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area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compariso</w:t>
            </w:r>
            <w:r>
              <w:rPr>
                <w:spacing w:val="-2"/>
                <w:sz w:val="22"/>
              </w:rPr>
              <w:t>n</w:t>
            </w:r>
            <w:r>
              <w:rPr>
                <w:spacing w:val="-2"/>
                <w:sz w:val="22"/>
              </w:rPr>
              <w:t> possible?</w:t>
            </w:r>
          </w:p>
        </w:tc>
        <w:tc>
          <w:tcPr>
            <w:tcW w:w="2910" w:type="dxa"/>
          </w:tcPr>
          <w:p>
            <w:pPr>
              <w:pStyle w:val="TableParagraph"/>
              <w:spacing w:before="7"/>
              <w:rPr>
                <w:sz w:val="22"/>
              </w:rPr>
            </w:pPr>
            <w:r>
              <w:rPr>
                <w:sz w:val="22"/>
              </w:rPr>
              <w:t>No,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image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alone</w:t>
            </w:r>
          </w:p>
        </w:tc>
        <w:tc>
          <w:tcPr>
            <w:tcW w:w="3000" w:type="dxa"/>
          </w:tcPr>
          <w:p>
            <w:pPr>
              <w:pStyle w:val="TableParagraph"/>
              <w:spacing w:before="7"/>
              <w:rPr>
                <w:sz w:val="22"/>
              </w:rPr>
            </w:pPr>
            <w:r>
              <w:rPr>
                <w:sz w:val="22"/>
              </w:rPr>
              <w:t>No,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image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alone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header="727" w:footer="0" w:top="1340" w:bottom="280" w:left="1440" w:right="720"/>
        </w:sectPr>
      </w:pPr>
    </w:p>
    <w:p>
      <w:pPr>
        <w:pStyle w:val="Heading2"/>
        <w:numPr>
          <w:ilvl w:val="1"/>
          <w:numId w:val="5"/>
        </w:numPr>
        <w:tabs>
          <w:tab w:pos="419" w:val="left" w:leader="none"/>
        </w:tabs>
        <w:spacing w:line="240" w:lineRule="auto" w:before="80" w:after="0"/>
        <w:ind w:left="419" w:right="0" w:hanging="419"/>
        <w:jc w:val="left"/>
      </w:pPr>
      <w:r>
        <w:rPr/>
        <w:t>Validation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>
          <w:spacing w:val="-2"/>
        </w:rPr>
        <w:t>Uncertainty</w:t>
      </w:r>
    </w:p>
    <w:p>
      <w:pPr>
        <w:pStyle w:val="BodyText"/>
        <w:spacing w:line="276" w:lineRule="auto" w:before="249"/>
        <w:ind w:right="727"/>
      </w:pPr>
      <w:r>
        <w:rPr/>
        <w:t>Validation is a critical part of flood susceptibility modelling. Published</w:t>
      </w:r>
      <w:r>
        <w:rPr>
          <w:spacing w:val="-5"/>
        </w:rPr>
        <w:t> </w:t>
      </w:r>
      <w:r>
        <w:rPr/>
        <w:t>studies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used</w:t>
      </w:r>
      <w:r>
        <w:rPr>
          <w:spacing w:val="-5"/>
        </w:rPr>
        <w:t> </w:t>
      </w:r>
      <w:r>
        <w:rPr/>
        <w:t>historical</w:t>
      </w:r>
      <w:r>
        <w:rPr>
          <w:spacing w:val="-5"/>
        </w:rPr>
        <w:t> </w:t>
      </w:r>
      <w:r>
        <w:rPr/>
        <w:t>flood</w:t>
      </w:r>
      <w:r>
        <w:rPr/>
        <w:t> points, ROC-AUC analysis, satellite inundation records and other independent evidence. The </w:t>
      </w:r>
      <w:r>
        <w:rPr/>
        <w:t>supplied</w:t>
      </w:r>
      <w:r>
        <w:rPr/>
        <w:t> maps do not include their validation</w:t>
      </w:r>
      <w:r>
        <w:rPr>
          <w:spacing w:val="-4"/>
        </w:rPr>
        <w:t> </w:t>
      </w:r>
      <w:r>
        <w:rPr/>
        <w:t>tables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accuracy</w:t>
      </w:r>
      <w:r>
        <w:rPr>
          <w:spacing w:val="-4"/>
        </w:rPr>
        <w:t> </w:t>
      </w:r>
      <w:r>
        <w:rPr/>
        <w:t>statistics.</w:t>
      </w:r>
      <w:r>
        <w:rPr>
          <w:spacing w:val="-4"/>
        </w:rPr>
        <w:t> </w:t>
      </w:r>
      <w:r>
        <w:rPr/>
        <w:t>Consequently,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report</w:t>
      </w:r>
      <w:r>
        <w:rPr>
          <w:spacing w:val="-4"/>
        </w:rPr>
        <w:t> </w:t>
      </w:r>
      <w:r>
        <w:rPr/>
        <w:t>does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claim</w:t>
      </w:r>
      <w:r>
        <w:rPr/>
        <w:t> that one map is more accurate than the other.</w:t>
      </w:r>
    </w:p>
    <w:p>
      <w:pPr>
        <w:pStyle w:val="BodyText"/>
        <w:spacing w:line="276" w:lineRule="auto"/>
        <w:ind w:right="720"/>
      </w:pPr>
      <w:r>
        <w:rPr/>
        <w:t>A</w:t>
      </w:r>
      <w:r>
        <w:rPr>
          <w:spacing w:val="40"/>
        </w:rPr>
        <w:t> </w:t>
      </w:r>
      <w:r>
        <w:rPr/>
        <w:t>future</w:t>
      </w:r>
      <w:r>
        <w:rPr>
          <w:spacing w:val="40"/>
        </w:rPr>
        <w:t> </w:t>
      </w:r>
      <w:r>
        <w:rPr/>
        <w:t>validation</w:t>
      </w:r>
      <w:r>
        <w:rPr>
          <w:spacing w:val="40"/>
        </w:rPr>
        <w:t> </w:t>
      </w:r>
      <w:r>
        <w:rPr/>
        <w:t>procedure</w:t>
      </w:r>
      <w:r>
        <w:rPr>
          <w:spacing w:val="40"/>
        </w:rPr>
        <w:t> </w:t>
      </w:r>
      <w:r>
        <w:rPr/>
        <w:t>should</w:t>
      </w:r>
      <w:r>
        <w:rPr>
          <w:spacing w:val="40"/>
        </w:rPr>
        <w:t> </w:t>
      </w:r>
      <w:r>
        <w:rPr/>
        <w:t>create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common</w:t>
      </w:r>
      <w:r>
        <w:rPr>
          <w:spacing w:val="40"/>
        </w:rPr>
        <w:t> </w:t>
      </w:r>
      <w:r>
        <w:rPr/>
        <w:t>flood-inventory</w:t>
      </w:r>
      <w:r>
        <w:rPr>
          <w:spacing w:val="40"/>
        </w:rPr>
        <w:t> </w:t>
      </w:r>
      <w:r>
        <w:rPr/>
        <w:t>dataset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of</w:t>
      </w:r>
      <w:r>
        <w:rPr/>
        <w:t>ficial</w:t>
      </w:r>
      <w:r>
        <w:rPr>
          <w:spacing w:val="80"/>
        </w:rPr>
        <w:t> </w:t>
      </w:r>
      <w:r>
        <w:rPr/>
        <w:t>satellite-derived inundation maps or verified historical flood observations. The same validation </w:t>
      </w:r>
      <w:r>
        <w:rPr/>
        <w:t>point</w:t>
      </w:r>
      <w:r>
        <w:rPr/>
        <w:t>s</w:t>
      </w:r>
      <w:r>
        <w:rPr/>
        <w:t> should then be sampled against each model, and ROC-AUC, precision, recall or confusion-</w:t>
      </w:r>
      <w:r>
        <w:rPr/>
        <w:t>matrix</w:t>
      </w:r>
      <w:r>
        <w:rPr/>
        <w:t> measures can be calculated where appropriate.</w:t>
      </w:r>
    </w:p>
    <w:p>
      <w:pPr>
        <w:pStyle w:val="BodyText"/>
        <w:spacing w:line="276" w:lineRule="auto"/>
        <w:ind w:right="718"/>
      </w:pPr>
      <w:r>
        <w:rPr/>
        <w:t>Uncertainty also arises from classification thresholds, temporal mismatch, map resolution and </w:t>
      </w:r>
      <w:r>
        <w:rPr/>
        <w:t>th</w:t>
      </w:r>
      <w:r>
        <w:rPr/>
        <w:t>e</w:t>
      </w:r>
      <w:r>
        <w:rPr/>
        <w:t> possibility that one model emphasizes physical susceptibility while</w:t>
      </w:r>
      <w:r>
        <w:rPr>
          <w:spacing w:val="-3"/>
        </w:rPr>
        <w:t> </w:t>
      </w:r>
      <w:r>
        <w:rPr/>
        <w:t>another</w:t>
      </w:r>
      <w:r>
        <w:rPr>
          <w:spacing w:val="-3"/>
        </w:rPr>
        <w:t> </w:t>
      </w:r>
      <w:r>
        <w:rPr/>
        <w:t>incorporates</w:t>
      </w:r>
      <w:r>
        <w:rPr>
          <w:spacing w:val="-3"/>
        </w:rPr>
        <w:t> </w:t>
      </w:r>
      <w:r>
        <w:rPr/>
        <w:t>exposure.</w:t>
      </w:r>
      <w:r>
        <w:rPr>
          <w:spacing w:val="-3"/>
        </w:rPr>
        <w:t> </w:t>
      </w:r>
      <w:r>
        <w:rPr/>
        <w:t>These</w:t>
      </w:r>
      <w:r>
        <w:rPr/>
        <w:t> factors must be documented before the outputs are used for investment, evacuation or land-use decisions.</w:t>
      </w:r>
    </w:p>
    <w:p>
      <w:pPr>
        <w:pStyle w:val="BodyText"/>
        <w:spacing w:after="0" w:line="276" w:lineRule="auto"/>
        <w:sectPr>
          <w:pgSz w:w="12240" w:h="15840"/>
          <w:pgMar w:header="727" w:footer="0" w:top="1340" w:bottom="280" w:left="1440" w:right="720"/>
        </w:sectPr>
      </w:pPr>
    </w:p>
    <w:p>
      <w:pPr>
        <w:pStyle w:val="Heading1"/>
        <w:jc w:val="left"/>
      </w:pPr>
      <w:r>
        <w:rPr/>
        <w:t>CHAPTER</w:t>
      </w:r>
      <w:r>
        <w:rPr>
          <w:spacing w:val="-3"/>
        </w:rPr>
        <w:t> </w:t>
      </w:r>
      <w:r>
        <w:rPr/>
        <w:t>4:</w:t>
      </w:r>
      <w:r>
        <w:rPr>
          <w:spacing w:val="-1"/>
        </w:rPr>
        <w:t> </w:t>
      </w:r>
      <w:r>
        <w:rPr>
          <w:spacing w:val="-2"/>
        </w:rPr>
        <w:t>FINDINGS</w:t>
      </w:r>
    </w:p>
    <w:p>
      <w:pPr>
        <w:pStyle w:val="Heading2"/>
        <w:numPr>
          <w:ilvl w:val="1"/>
          <w:numId w:val="6"/>
        </w:numPr>
        <w:tabs>
          <w:tab w:pos="419" w:val="left" w:leader="none"/>
        </w:tabs>
        <w:spacing w:line="240" w:lineRule="auto" w:before="175" w:after="0"/>
        <w:ind w:left="419" w:right="0" w:hanging="419"/>
        <w:jc w:val="left"/>
      </w:pPr>
      <w:r>
        <w:rPr/>
        <w:t>Hardoi</w:t>
      </w:r>
      <w:r>
        <w:rPr>
          <w:spacing w:val="-1"/>
        </w:rPr>
        <w:t> </w:t>
      </w:r>
      <w:r>
        <w:rPr/>
        <w:t>Map</w:t>
      </w:r>
      <w:r>
        <w:rPr>
          <w:spacing w:val="-1"/>
        </w:rPr>
        <w:t> </w:t>
      </w:r>
      <w:r>
        <w:rPr>
          <w:spacing w:val="-2"/>
        </w:rPr>
        <w:t>Findings</w:t>
      </w:r>
    </w:p>
    <w:p>
      <w:pPr>
        <w:pStyle w:val="BodyText"/>
        <w:spacing w:before="78"/>
        <w:jc w:val="left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1522015</wp:posOffset>
            </wp:positionH>
            <wp:positionV relativeFrom="paragraph">
              <wp:posOffset>210839</wp:posOffset>
            </wp:positionV>
            <wp:extent cx="4771586" cy="685800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1586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02"/>
        <w:jc w:val="left"/>
        <w:rPr>
          <w:b/>
          <w:sz w:val="28"/>
        </w:rPr>
      </w:pPr>
    </w:p>
    <w:p>
      <w:pPr>
        <w:spacing w:before="0"/>
        <w:ind w:left="2093" w:right="0" w:firstLine="0"/>
        <w:jc w:val="left"/>
        <w:rPr>
          <w:b/>
          <w:sz w:val="20"/>
        </w:rPr>
      </w:pPr>
      <w:r>
        <w:rPr>
          <w:b/>
          <w:sz w:val="20"/>
        </w:rPr>
        <w:t>Figure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4.1.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Supplied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map: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Flood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Risk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Analysis,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Hardoi</w:t>
      </w:r>
      <w:r>
        <w:rPr>
          <w:b/>
          <w:spacing w:val="-1"/>
          <w:sz w:val="20"/>
        </w:rPr>
        <w:t> </w:t>
      </w:r>
      <w:r>
        <w:rPr>
          <w:b/>
          <w:spacing w:val="-2"/>
          <w:sz w:val="20"/>
        </w:rPr>
        <w:t>2025.</w:t>
      </w:r>
    </w:p>
    <w:p>
      <w:pPr>
        <w:spacing w:after="0"/>
        <w:jc w:val="left"/>
        <w:rPr>
          <w:b/>
          <w:sz w:val="20"/>
        </w:rPr>
        <w:sectPr>
          <w:pgSz w:w="12240" w:h="15840"/>
          <w:pgMar w:header="727" w:footer="0" w:top="1340" w:bottom="280" w:left="1440" w:right="720"/>
        </w:sectPr>
      </w:pPr>
    </w:p>
    <w:p>
      <w:pPr>
        <w:pStyle w:val="BodyText"/>
        <w:spacing w:line="276" w:lineRule="auto" w:before="80"/>
        <w:ind w:right="726"/>
      </w:pPr>
      <w:r>
        <w:rPr/>
        <w:t>The Hardoi map contains five risk classes from Very Low Risk to Very High Risk. The red Very </w:t>
      </w:r>
      <w:r>
        <w:rPr/>
        <w:t>High</w:t>
      </w:r>
      <w:r>
        <w:rPr/>
        <w:t> Risk category is visually prominent and appears in numerous compact clusters as well as </w:t>
      </w:r>
      <w:r>
        <w:rPr/>
        <w:t>elongated</w:t>
      </w:r>
      <w:r>
        <w:rPr/>
        <w:t> structures.</w:t>
      </w:r>
      <w:r>
        <w:rPr>
          <w:spacing w:val="-4"/>
        </w:rPr>
        <w:t> </w:t>
      </w:r>
      <w:r>
        <w:rPr/>
        <w:t>Several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these</w:t>
      </w:r>
      <w:r>
        <w:rPr>
          <w:spacing w:val="-4"/>
        </w:rPr>
        <w:t> </w:t>
      </w:r>
      <w:r>
        <w:rPr/>
        <w:t>elongated</w:t>
      </w:r>
      <w:r>
        <w:rPr>
          <w:spacing w:val="-4"/>
        </w:rPr>
        <w:t> </w:t>
      </w:r>
      <w:r>
        <w:rPr/>
        <w:t>areas</w:t>
      </w:r>
      <w:r>
        <w:rPr>
          <w:spacing w:val="-4"/>
        </w:rPr>
        <w:t> </w:t>
      </w:r>
      <w:r>
        <w:rPr/>
        <w:t>form</w:t>
      </w:r>
      <w:r>
        <w:rPr>
          <w:spacing w:val="-4"/>
        </w:rPr>
        <w:t> </w:t>
      </w:r>
      <w:r>
        <w:rPr/>
        <w:t>broad</w:t>
      </w:r>
      <w:r>
        <w:rPr>
          <w:spacing w:val="-4"/>
        </w:rPr>
        <w:t> </w:t>
      </w:r>
      <w:r>
        <w:rPr/>
        <w:t>north-south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diagonal</w:t>
      </w:r>
      <w:r>
        <w:rPr>
          <w:spacing w:val="-4"/>
        </w:rPr>
        <w:t> </w:t>
      </w:r>
      <w:r>
        <w:rPr/>
        <w:t>patterns,</w:t>
      </w:r>
      <w:r>
        <w:rPr>
          <w:spacing w:val="-4"/>
        </w:rPr>
        <w:t> </w:t>
      </w:r>
      <w:r>
        <w:rPr/>
        <w:t>suggesting</w:t>
      </w:r>
      <w:r>
        <w:rPr>
          <w:spacing w:val="-4"/>
        </w:rPr>
        <w:t> </w:t>
      </w:r>
      <w:r>
        <w:rPr/>
        <w:t>strong</w:t>
      </w:r>
      <w:r>
        <w:rPr/>
        <w:t> spatial organization rather than random distribution.</w:t>
      </w:r>
    </w:p>
    <w:p>
      <w:pPr>
        <w:pStyle w:val="BodyText"/>
        <w:spacing w:line="276" w:lineRule="auto"/>
        <w:ind w:right="724"/>
      </w:pPr>
      <w:r>
        <w:rPr/>
        <w:t>Green Very Low Risk and blue Low Risk areas occur in several peripheral and interstitial </w:t>
      </w:r>
      <w:r>
        <w:rPr/>
        <w:t>locations.</w:t>
      </w:r>
      <w:r>
        <w:rPr/>
        <w:t> Yellow Moderate Risk and orange High Risk classes provide transition zones between lower and </w:t>
      </w:r>
      <w:r>
        <w:rPr/>
        <w:t>higher</w:t>
      </w:r>
      <w:r>
        <w:rPr/>
        <w:t> categories. The map therefore displays a multi-scale pattern in which high-risk clusters are </w:t>
      </w:r>
      <w:r>
        <w:rPr/>
        <w:t>embedded</w:t>
      </w:r>
      <w:r>
        <w:rPr/>
        <w:t> within broader moderate or low-risk areas.</w:t>
      </w:r>
    </w:p>
    <w:p>
      <w:pPr>
        <w:pStyle w:val="Heading4"/>
        <w:numPr>
          <w:ilvl w:val="2"/>
          <w:numId w:val="6"/>
        </w:numPr>
        <w:tabs>
          <w:tab w:pos="540" w:val="left" w:leader="none"/>
        </w:tabs>
        <w:spacing w:line="240" w:lineRule="auto" w:before="200" w:after="0"/>
        <w:ind w:left="540" w:right="0" w:hanging="540"/>
        <w:jc w:val="left"/>
      </w:pPr>
      <w:r>
        <w:rPr/>
        <w:t>Hardoi Spatial </w:t>
      </w:r>
      <w:r>
        <w:rPr>
          <w:spacing w:val="-2"/>
        </w:rPr>
        <w:t>Characteristics</w:t>
      </w:r>
    </w:p>
    <w:p>
      <w:pPr>
        <w:pStyle w:val="BodyText"/>
        <w:spacing w:line="276" w:lineRule="auto" w:before="242"/>
        <w:ind w:right="718"/>
      </w:pPr>
      <w:r>
        <w:rPr/>
        <w:t>A notable characteristic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Hardoi</w:t>
      </w:r>
      <w:r>
        <w:rPr>
          <w:spacing w:val="-3"/>
        </w:rPr>
        <w:t> </w:t>
      </w:r>
      <w:r>
        <w:rPr/>
        <w:t>map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strong</w:t>
      </w:r>
      <w:r>
        <w:rPr>
          <w:spacing w:val="-3"/>
        </w:rPr>
        <w:t> </w:t>
      </w:r>
      <w:r>
        <w:rPr/>
        <w:t>visual</w:t>
      </w:r>
      <w:r>
        <w:rPr>
          <w:spacing w:val="-3"/>
        </w:rPr>
        <w:t> </w:t>
      </w:r>
      <w:r>
        <w:rPr/>
        <w:t>contrast</w:t>
      </w:r>
      <w:r>
        <w:rPr>
          <w:spacing w:val="-3"/>
        </w:rPr>
        <w:t> </w:t>
      </w:r>
      <w:r>
        <w:rPr/>
        <w:t>between</w:t>
      </w:r>
      <w:r>
        <w:rPr>
          <w:spacing w:val="-3"/>
        </w:rPr>
        <w:t> </w:t>
      </w:r>
      <w:r>
        <w:rPr/>
        <w:t>red</w:t>
      </w:r>
      <w:r>
        <w:rPr>
          <w:spacing w:val="-3"/>
        </w:rPr>
        <w:t> </w:t>
      </w:r>
      <w:r>
        <w:rPr/>
        <w:t>high-intensity</w:t>
      </w:r>
      <w:r>
        <w:rPr>
          <w:spacing w:val="-3"/>
        </w:rPr>
        <w:t> </w:t>
      </w:r>
      <w:r>
        <w:rPr/>
        <w:t>patches</w:t>
      </w:r>
      <w:r>
        <w:rPr/>
        <w:t> and green/blue lower-intensity areas. The central portion contains many high-risk clusters, </w:t>
      </w:r>
      <w:r>
        <w:rPr/>
        <w:t>while</w:t>
      </w:r>
      <w:r>
        <w:rPr/>
        <w:t> additional elongated high-risk patterns extend through the district. The red category is not restricted to</w:t>
      </w:r>
      <w:r>
        <w:rPr>
          <w:spacing w:val="-3"/>
        </w:rPr>
        <w:t> </w:t>
      </w:r>
      <w:r>
        <w:rPr/>
        <w:t>a</w:t>
      </w:r>
      <w:r>
        <w:rPr/>
        <w:t> single isolated boundary.</w:t>
      </w:r>
    </w:p>
    <w:p>
      <w:pPr>
        <w:pStyle w:val="BodyText"/>
        <w:spacing w:line="276" w:lineRule="auto"/>
        <w:ind w:right="719"/>
      </w:pPr>
      <w:r>
        <w:rPr/>
        <w:t>The map's scale bar reaches 16.4 kilometres, indicating that the displayed district occupies a </w:t>
      </w:r>
      <w:r>
        <w:rPr/>
        <w:t>relatively</w:t>
      </w:r>
      <w:r>
        <w:rPr/>
        <w:t> compact cartographic frame. The legend is placed in the lower-right portion and uses a</w:t>
      </w:r>
      <w:r>
        <w:rPr>
          <w:spacing w:val="-3"/>
        </w:rPr>
        <w:t> </w:t>
      </w:r>
      <w:r>
        <w:rPr/>
        <w:t>sequential</w:t>
      </w:r>
      <w:r>
        <w:rPr>
          <w:spacing w:val="-3"/>
        </w:rPr>
        <w:t> </w:t>
      </w:r>
      <w:r>
        <w:rPr/>
        <w:t>visual</w:t>
      </w:r>
      <w:r>
        <w:rPr/>
        <w:t> progression from green to red. This colour ordering makes the highest category visually dominant </w:t>
      </w:r>
      <w:r>
        <w:rPr/>
        <w:t>and</w:t>
      </w:r>
      <w:r>
        <w:rPr/>
        <w:t> easy to identify.</w:t>
      </w:r>
    </w:p>
    <w:p>
      <w:pPr>
        <w:pStyle w:val="BodyText"/>
        <w:spacing w:line="276" w:lineRule="auto"/>
        <w:ind w:right="720"/>
      </w:pPr>
      <w:r>
        <w:rPr/>
        <w:t>Because no river labels, roads or settlements are shown on the supplied Hardoi map, the </w:t>
      </w:r>
      <w:r>
        <w:rPr/>
        <w:t>exact</w:t>
      </w:r>
      <w:r>
        <w:rPr/>
        <w:t> environmental cause of each red patch cannot be established from the image alone. A relationship </w:t>
      </w:r>
      <w:r>
        <w:rPr/>
        <w:t>with</w:t>
      </w:r>
      <w:r>
        <w:rPr/>
        <w:t> drainage is plausible in a flood-risk context, but it must be tested using the original GIS layers.</w:t>
      </w:r>
    </w:p>
    <w:p>
      <w:pPr>
        <w:pStyle w:val="BodyText"/>
        <w:spacing w:after="0" w:line="276" w:lineRule="auto"/>
        <w:sectPr>
          <w:pgSz w:w="12240" w:h="15840"/>
          <w:pgMar w:header="727" w:footer="0" w:top="1340" w:bottom="280" w:left="1440" w:right="720"/>
        </w:sectPr>
      </w:pPr>
    </w:p>
    <w:p>
      <w:pPr>
        <w:pStyle w:val="Heading2"/>
        <w:numPr>
          <w:ilvl w:val="1"/>
          <w:numId w:val="6"/>
        </w:numPr>
        <w:tabs>
          <w:tab w:pos="419" w:val="left" w:leader="none"/>
        </w:tabs>
        <w:spacing w:line="240" w:lineRule="auto" w:before="80" w:after="0"/>
        <w:ind w:left="419" w:right="0" w:hanging="419"/>
        <w:jc w:val="left"/>
      </w:pPr>
      <w:r>
        <w:rPr/>
        <w:t>Cachar</w:t>
      </w:r>
      <w:r>
        <w:rPr>
          <w:spacing w:val="-1"/>
        </w:rPr>
        <w:t> </w:t>
      </w:r>
      <w:r>
        <w:rPr/>
        <w:t>Map</w:t>
      </w:r>
      <w:r>
        <w:rPr>
          <w:spacing w:val="-1"/>
        </w:rPr>
        <w:t> </w:t>
      </w:r>
      <w:r>
        <w:rPr>
          <w:spacing w:val="-2"/>
        </w:rPr>
        <w:t>Findings</w:t>
      </w:r>
    </w:p>
    <w:p>
      <w:pPr>
        <w:pStyle w:val="BodyText"/>
        <w:spacing w:before="195"/>
        <w:jc w:val="left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1449484</wp:posOffset>
            </wp:positionH>
            <wp:positionV relativeFrom="paragraph">
              <wp:posOffset>285465</wp:posOffset>
            </wp:positionV>
            <wp:extent cx="4858921" cy="6870954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8921" cy="68709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4"/>
        <w:jc w:val="left"/>
        <w:rPr>
          <w:b/>
          <w:sz w:val="28"/>
        </w:rPr>
      </w:pPr>
    </w:p>
    <w:p>
      <w:pPr>
        <w:spacing w:before="0"/>
        <w:ind w:left="561" w:right="0" w:firstLine="0"/>
        <w:jc w:val="left"/>
        <w:rPr>
          <w:b/>
          <w:sz w:val="20"/>
        </w:rPr>
      </w:pPr>
      <w:r>
        <w:rPr>
          <w:b/>
          <w:sz w:val="20"/>
        </w:rPr>
        <w:t>Figure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4.2.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Supplied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map: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GIS-Based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Flood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Vulnerability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Assessment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Cachar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District,</w:t>
      </w:r>
      <w:r>
        <w:rPr>
          <w:b/>
          <w:spacing w:val="-3"/>
          <w:sz w:val="20"/>
        </w:rPr>
        <w:t> </w:t>
      </w:r>
      <w:r>
        <w:rPr>
          <w:b/>
          <w:spacing w:val="-2"/>
          <w:sz w:val="20"/>
        </w:rPr>
        <w:t>Assam.</w:t>
      </w:r>
    </w:p>
    <w:p>
      <w:pPr>
        <w:spacing w:after="0"/>
        <w:jc w:val="left"/>
        <w:rPr>
          <w:b/>
          <w:sz w:val="20"/>
        </w:rPr>
        <w:sectPr>
          <w:pgSz w:w="12240" w:h="15840"/>
          <w:pgMar w:header="727" w:footer="0" w:top="1340" w:bottom="280" w:left="1440" w:right="720"/>
        </w:sectPr>
      </w:pPr>
    </w:p>
    <w:p>
      <w:pPr>
        <w:pStyle w:val="BodyText"/>
        <w:spacing w:line="276" w:lineRule="auto" w:before="80"/>
        <w:ind w:right="726"/>
      </w:pPr>
      <w:r>
        <w:rPr/>
        <w:t>The Cachar map uses the same five-level conceptual classification, progressing from Very Low to V</w:t>
      </w:r>
      <w:r>
        <w:rPr/>
        <w:t>ery</w:t>
      </w:r>
      <w:r>
        <w:rPr/>
        <w:t> High. Unlike the Hardoi map, the district boundary is explicitly represented in the legend and the </w:t>
      </w:r>
      <w:r>
        <w:rPr/>
        <w:t>map</w:t>
      </w:r>
      <w:r>
        <w:rPr/>
        <w:t> uses a large four-direction compass symbol. The scale bar extends to approximately 34 kilometres.</w:t>
      </w:r>
    </w:p>
    <w:p>
      <w:pPr>
        <w:pStyle w:val="BodyText"/>
        <w:spacing w:line="276" w:lineRule="auto"/>
        <w:ind w:right="723"/>
      </w:pPr>
      <w:r>
        <w:rPr/>
        <w:t>The visual field contains extensive orange and yellow areas, with red Very High patches</w:t>
      </w:r>
      <w:r>
        <w:rPr>
          <w:spacing w:val="-4"/>
        </w:rPr>
        <w:t> </w:t>
      </w:r>
      <w:r>
        <w:rPr/>
        <w:t>concentrated</w:t>
      </w:r>
      <w:r>
        <w:rPr>
          <w:spacing w:val="-4"/>
        </w:rPr>
        <w:t> </w:t>
      </w:r>
      <w:r>
        <w:rPr/>
        <w:t>in</w:t>
      </w:r>
      <w:r>
        <w:rPr/>
        <w:t> several central, eastern and southern portions. Green Very Low areas are comparatively more </w:t>
      </w:r>
      <w:r>
        <w:rPr/>
        <w:t>visible</w:t>
      </w:r>
      <w:r>
        <w:rPr/>
        <w:t> toward the northern and peripheral landscape. The map therefore presents a strong moderate-to-</w:t>
      </w:r>
      <w:r>
        <w:rPr/>
        <w:t>high</w:t>
      </w:r>
      <w:r>
        <w:rPr/>
        <w:t> background with localized very-high concentrations.</w:t>
      </w:r>
    </w:p>
    <w:p>
      <w:pPr>
        <w:pStyle w:val="Heading4"/>
        <w:numPr>
          <w:ilvl w:val="2"/>
          <w:numId w:val="6"/>
        </w:numPr>
        <w:tabs>
          <w:tab w:pos="540" w:val="left" w:leader="none"/>
        </w:tabs>
        <w:spacing w:line="240" w:lineRule="auto" w:before="200" w:after="0"/>
        <w:ind w:left="540" w:right="0" w:hanging="540"/>
        <w:jc w:val="left"/>
      </w:pPr>
      <w:r>
        <w:rPr/>
        <w:t>Cachar Spatial </w:t>
      </w:r>
      <w:r>
        <w:rPr>
          <w:spacing w:val="-2"/>
        </w:rPr>
        <w:t>Characteristics</w:t>
      </w:r>
    </w:p>
    <w:p>
      <w:pPr>
        <w:pStyle w:val="BodyText"/>
        <w:spacing w:line="276" w:lineRule="auto" w:before="242"/>
        <w:ind w:right="718"/>
      </w:pPr>
      <w:r>
        <w:rPr/>
        <w:t>The Cachar map shows several red linear or branching structures that appear spatially associated </w:t>
      </w:r>
      <w:r>
        <w:rPr/>
        <w:t>with</w:t>
      </w:r>
      <w:r>
        <w:rPr/>
        <w:t> drainage-like patterns. However, the map should not be used to claim a specific river</w:t>
      </w:r>
      <w:r>
        <w:rPr>
          <w:spacing w:val="-3"/>
        </w:rPr>
        <w:t> </w:t>
      </w:r>
      <w:r>
        <w:rPr/>
        <w:t>relationship</w:t>
      </w:r>
      <w:r>
        <w:rPr>
          <w:spacing w:val="-3"/>
        </w:rPr>
        <w:t> </w:t>
      </w:r>
      <w:r>
        <w:rPr/>
        <w:t>unless</w:t>
      </w:r>
      <w:r>
        <w:rPr/>
        <w:t> the underlying</w:t>
      </w:r>
      <w:r>
        <w:rPr>
          <w:spacing w:val="-2"/>
        </w:rPr>
        <w:t> </w:t>
      </w:r>
      <w:r>
        <w:rPr/>
        <w:t>river</w:t>
      </w:r>
      <w:r>
        <w:rPr>
          <w:spacing w:val="-2"/>
        </w:rPr>
        <w:t> </w:t>
      </w:r>
      <w:r>
        <w:rPr/>
        <w:t>layer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available.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published</w:t>
      </w:r>
      <w:r>
        <w:rPr>
          <w:spacing w:val="-2"/>
        </w:rPr>
        <w:t> </w:t>
      </w:r>
      <w:r>
        <w:rPr/>
        <w:t>Cachar</w:t>
      </w:r>
      <w:r>
        <w:rPr>
          <w:spacing w:val="-2"/>
        </w:rPr>
        <w:t> </w:t>
      </w:r>
      <w:r>
        <w:rPr/>
        <w:t>study</w:t>
      </w:r>
      <w:r>
        <w:rPr>
          <w:spacing w:val="-2"/>
        </w:rPr>
        <w:t> </w:t>
      </w:r>
      <w:r>
        <w:rPr/>
        <w:t>identifies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Barak</w:t>
      </w:r>
      <w:r>
        <w:rPr>
          <w:spacing w:val="-2"/>
        </w:rPr>
        <w:t> </w:t>
      </w:r>
      <w:r>
        <w:rPr/>
        <w:t>River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distance</w:t>
      </w:r>
      <w:r>
        <w:rPr/>
        <w:t> from the river as important</w:t>
      </w:r>
      <w:r>
        <w:rPr>
          <w:spacing w:val="-3"/>
        </w:rPr>
        <w:t> </w:t>
      </w:r>
      <w:r>
        <w:rPr/>
        <w:t>contextual</w:t>
      </w:r>
      <w:r>
        <w:rPr>
          <w:spacing w:val="-3"/>
        </w:rPr>
        <w:t> </w:t>
      </w:r>
      <w:r>
        <w:rPr/>
        <w:t>factors,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report</w:t>
      </w:r>
      <w:r>
        <w:rPr>
          <w:spacing w:val="-3"/>
        </w:rPr>
        <w:t> </w:t>
      </w:r>
      <w:r>
        <w:rPr/>
        <w:t>treats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literature</w:t>
      </w:r>
      <w:r>
        <w:rPr>
          <w:spacing w:val="-3"/>
        </w:rPr>
        <w:t> </w:t>
      </w:r>
      <w:r>
        <w:rPr/>
        <w:t>support</w:t>
      </w:r>
      <w:r>
        <w:rPr>
          <w:spacing w:val="-3"/>
        </w:rPr>
        <w:t> </w:t>
      </w:r>
      <w:r>
        <w:rPr/>
        <w:t>rather</w:t>
      </w:r>
      <w:r>
        <w:rPr>
          <w:spacing w:val="-3"/>
        </w:rPr>
        <w:t> </w:t>
      </w:r>
      <w:r>
        <w:rPr/>
        <w:t>than</w:t>
      </w:r>
      <w:r>
        <w:rPr>
          <w:spacing w:val="-3"/>
        </w:rPr>
        <w:t> </w:t>
      </w:r>
      <w:r>
        <w:rPr/>
        <w:t>as</w:t>
      </w:r>
      <w:r>
        <w:rPr/>
        <w:t> direct evidence from every red pixel.</w:t>
      </w:r>
    </w:p>
    <w:p>
      <w:pPr>
        <w:pStyle w:val="BodyText"/>
        <w:spacing w:line="276" w:lineRule="auto"/>
        <w:ind w:right="723"/>
      </w:pPr>
      <w:r>
        <w:rPr/>
        <w:t>The map also shows a strong transition from greener northern areas toward more orange and </w:t>
      </w:r>
      <w:r>
        <w:rPr/>
        <w:t>red</w:t>
      </w:r>
      <w:r>
        <w:rPr/>
        <w:t> central/eastern areas. This</w:t>
      </w:r>
      <w:r>
        <w:rPr>
          <w:spacing w:val="-3"/>
        </w:rPr>
        <w:t> </w:t>
      </w:r>
      <w:r>
        <w:rPr/>
        <w:t>spatial</w:t>
      </w:r>
      <w:r>
        <w:rPr>
          <w:spacing w:val="-3"/>
        </w:rPr>
        <w:t> </w:t>
      </w:r>
      <w:r>
        <w:rPr/>
        <w:t>gradient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clearest</w:t>
      </w:r>
      <w:r>
        <w:rPr>
          <w:spacing w:val="-3"/>
        </w:rPr>
        <w:t> </w:t>
      </w:r>
      <w:r>
        <w:rPr/>
        <w:t>differences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Hardoi</w:t>
      </w:r>
      <w:r>
        <w:rPr>
          <w:spacing w:val="-3"/>
        </w:rPr>
        <w:t> </w:t>
      </w:r>
      <w:r>
        <w:rPr/>
        <w:t>output,</w:t>
      </w:r>
      <w:r>
        <w:rPr>
          <w:spacing w:val="-3"/>
        </w:rPr>
        <w:t> </w:t>
      </w:r>
      <w:r>
        <w:rPr/>
        <w:t>where</w:t>
      </w:r>
      <w:r>
        <w:rPr/>
        <w:t> very high patches are more visually fragmented and numerous.</w:t>
      </w:r>
    </w:p>
    <w:p>
      <w:pPr>
        <w:pStyle w:val="Heading2"/>
        <w:numPr>
          <w:ilvl w:val="1"/>
          <w:numId w:val="6"/>
        </w:numPr>
        <w:tabs>
          <w:tab w:pos="419" w:val="left" w:leader="none"/>
        </w:tabs>
        <w:spacing w:line="240" w:lineRule="auto" w:before="200" w:after="0"/>
        <w:ind w:left="419" w:right="0" w:hanging="419"/>
        <w:jc w:val="left"/>
      </w:pPr>
      <w:r>
        <w:rPr/>
        <w:t>Side-by-Side</w:t>
      </w:r>
      <w:r>
        <w:rPr>
          <w:spacing w:val="-1"/>
        </w:rPr>
        <w:t> </w:t>
      </w:r>
      <w:r>
        <w:rPr>
          <w:spacing w:val="-2"/>
        </w:rPr>
        <w:t>Comparison</w:t>
      </w:r>
    </w:p>
    <w:p>
      <w:pPr>
        <w:pStyle w:val="BodyText"/>
        <w:spacing w:before="6"/>
        <w:jc w:val="left"/>
        <w:rPr>
          <w:b/>
          <w:sz w:val="20"/>
        </w:rPr>
      </w:pPr>
    </w:p>
    <w:tbl>
      <w:tblPr>
        <w:tblW w:w="0" w:type="auto"/>
        <w:jc w:val="left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0"/>
        <w:gridCol w:w="1980"/>
        <w:gridCol w:w="2580"/>
        <w:gridCol w:w="2145"/>
      </w:tblGrid>
      <w:tr>
        <w:trPr>
          <w:trHeight w:val="735" w:hRule="atLeast"/>
        </w:trPr>
        <w:tc>
          <w:tcPr>
            <w:tcW w:w="2160" w:type="dxa"/>
          </w:tcPr>
          <w:p>
            <w:pPr>
              <w:pStyle w:val="TableParagraph"/>
              <w:spacing w:before="1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Feature</w:t>
            </w:r>
          </w:p>
        </w:tc>
        <w:tc>
          <w:tcPr>
            <w:tcW w:w="1980" w:type="dxa"/>
          </w:tcPr>
          <w:p>
            <w:pPr>
              <w:pStyle w:val="TableParagraph"/>
              <w:spacing w:before="1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Hardoi</w:t>
            </w:r>
          </w:p>
        </w:tc>
        <w:tc>
          <w:tcPr>
            <w:tcW w:w="2580" w:type="dxa"/>
          </w:tcPr>
          <w:p>
            <w:pPr>
              <w:pStyle w:val="TableParagraph"/>
              <w:spacing w:before="1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Cachar</w:t>
            </w:r>
          </w:p>
        </w:tc>
        <w:tc>
          <w:tcPr>
            <w:tcW w:w="2145" w:type="dxa"/>
          </w:tcPr>
          <w:p>
            <w:pPr>
              <w:pStyle w:val="TableParagraph"/>
              <w:spacing w:line="276" w:lineRule="auto" w:before="11"/>
              <w:ind w:righ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Comparative</w:t>
            </w:r>
            <w:r>
              <w:rPr>
                <w:b/>
                <w:spacing w:val="-2"/>
                <w:sz w:val="22"/>
              </w:rPr>
              <w:t> observation</w:t>
            </w:r>
          </w:p>
        </w:tc>
      </w:tr>
      <w:tr>
        <w:trPr>
          <w:trHeight w:val="1095" w:hRule="atLeast"/>
        </w:trPr>
        <w:tc>
          <w:tcPr>
            <w:tcW w:w="2160" w:type="dxa"/>
          </w:tcPr>
          <w:p>
            <w:pPr>
              <w:pStyle w:val="TableParagraph"/>
              <w:spacing w:before="11"/>
              <w:rPr>
                <w:sz w:val="22"/>
              </w:rPr>
            </w:pPr>
            <w:r>
              <w:rPr>
                <w:sz w:val="22"/>
              </w:rPr>
              <w:t>Highest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category</w:t>
            </w:r>
          </w:p>
        </w:tc>
        <w:tc>
          <w:tcPr>
            <w:tcW w:w="1980" w:type="dxa"/>
          </w:tcPr>
          <w:p>
            <w:pPr>
              <w:pStyle w:val="TableParagraph"/>
              <w:spacing w:before="11"/>
              <w:rPr>
                <w:sz w:val="22"/>
              </w:rPr>
            </w:pPr>
            <w:r>
              <w:rPr>
                <w:sz w:val="22"/>
              </w:rPr>
              <w:t>Very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High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Risk</w:t>
            </w:r>
          </w:p>
        </w:tc>
        <w:tc>
          <w:tcPr>
            <w:tcW w:w="2580" w:type="dxa"/>
          </w:tcPr>
          <w:p>
            <w:pPr>
              <w:pStyle w:val="TableParagraph"/>
              <w:spacing w:before="11"/>
              <w:rPr>
                <w:sz w:val="22"/>
              </w:rPr>
            </w:pPr>
            <w:r>
              <w:rPr>
                <w:spacing w:val="-5"/>
                <w:sz w:val="22"/>
              </w:rPr>
              <w:t>Very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2145" w:type="dxa"/>
          </w:tcPr>
          <w:p>
            <w:pPr>
              <w:pStyle w:val="TableParagraph"/>
              <w:spacing w:line="276" w:lineRule="auto" w:before="11"/>
              <w:ind w:right="100"/>
              <w:rPr>
                <w:sz w:val="22"/>
              </w:rPr>
            </w:pPr>
            <w:r>
              <w:rPr>
                <w:sz w:val="22"/>
              </w:rPr>
              <w:t>Both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maps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emphasiz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five-</w:t>
            </w:r>
            <w:r>
              <w:rPr>
                <w:spacing w:val="-2"/>
                <w:sz w:val="22"/>
              </w:rPr>
              <w:t>level</w:t>
            </w:r>
            <w:r>
              <w:rPr>
                <w:spacing w:val="-2"/>
                <w:sz w:val="22"/>
              </w:rPr>
              <w:t> classification.</w:t>
            </w:r>
          </w:p>
        </w:tc>
      </w:tr>
      <w:tr>
        <w:trPr>
          <w:trHeight w:val="1455" w:hRule="atLeast"/>
        </w:trPr>
        <w:tc>
          <w:tcPr>
            <w:tcW w:w="2160" w:type="dxa"/>
          </w:tcPr>
          <w:p>
            <w:pPr>
              <w:pStyle w:val="TableParagraph"/>
              <w:spacing w:before="11"/>
              <w:rPr>
                <w:sz w:val="22"/>
              </w:rPr>
            </w:pPr>
            <w:r>
              <w:rPr>
                <w:spacing w:val="-2"/>
                <w:sz w:val="22"/>
              </w:rPr>
              <w:t>Visual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dominance</w:t>
            </w:r>
          </w:p>
        </w:tc>
        <w:tc>
          <w:tcPr>
            <w:tcW w:w="1980" w:type="dxa"/>
          </w:tcPr>
          <w:p>
            <w:pPr>
              <w:pStyle w:val="TableParagraph"/>
              <w:spacing w:line="276" w:lineRule="auto" w:before="11"/>
              <w:ind w:right="99"/>
              <w:jc w:val="both"/>
              <w:rPr>
                <w:sz w:val="22"/>
              </w:rPr>
            </w:pPr>
            <w:r>
              <w:rPr>
                <w:sz w:val="22"/>
              </w:rPr>
              <w:t>High and </w:t>
            </w:r>
            <w:r>
              <w:rPr>
                <w:sz w:val="22"/>
              </w:rPr>
              <w:t>Ver</w:t>
            </w:r>
            <w:r>
              <w:rPr>
                <w:sz w:val="22"/>
              </w:rPr>
              <w:t>y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High colours ar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 strongly visible</w:t>
            </w:r>
          </w:p>
        </w:tc>
        <w:tc>
          <w:tcPr>
            <w:tcW w:w="2580" w:type="dxa"/>
          </w:tcPr>
          <w:p>
            <w:pPr>
              <w:pStyle w:val="TableParagraph"/>
              <w:spacing w:line="276" w:lineRule="auto" w:before="11"/>
              <w:ind w:right="95"/>
              <w:jc w:val="both"/>
              <w:rPr>
                <w:sz w:val="22"/>
              </w:rPr>
            </w:pPr>
            <w:r>
              <w:rPr>
                <w:sz w:val="22"/>
              </w:rPr>
              <w:t>Moderate 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High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z w:val="22"/>
              </w:rPr>
              <w:t> broad background </w:t>
            </w:r>
            <w:r>
              <w:rPr>
                <w:sz w:val="22"/>
              </w:rPr>
              <w:t>wit</w:t>
            </w:r>
            <w:r>
              <w:rPr>
                <w:sz w:val="22"/>
              </w:rPr>
              <w:t>h</w:t>
            </w:r>
            <w:r>
              <w:rPr>
                <w:sz w:val="22"/>
              </w:rPr>
              <w:t> Very High clusters</w:t>
            </w:r>
          </w:p>
        </w:tc>
        <w:tc>
          <w:tcPr>
            <w:tcW w:w="2145" w:type="dxa"/>
          </w:tcPr>
          <w:p>
            <w:pPr>
              <w:pStyle w:val="TableParagraph"/>
              <w:spacing w:line="276" w:lineRule="auto" w:before="11"/>
              <w:ind w:right="96"/>
              <w:jc w:val="both"/>
              <w:rPr>
                <w:sz w:val="22"/>
              </w:rPr>
            </w:pPr>
            <w:r>
              <w:rPr>
                <w:sz w:val="22"/>
              </w:rPr>
              <w:t>Hardoi appears </w:t>
            </w:r>
            <w:r>
              <w:rPr>
                <w:sz w:val="22"/>
              </w:rPr>
              <w:t>mor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 strongly high-ris</w:t>
            </w:r>
            <w:r>
              <w:rPr>
                <w:sz w:val="22"/>
              </w:rPr>
              <w:t>k</w:t>
            </w:r>
            <w:r>
              <w:rPr>
                <w:sz w:val="22"/>
              </w:rPr>
              <w:t> dominated visually.</w:t>
            </w:r>
          </w:p>
        </w:tc>
      </w:tr>
      <w:tr>
        <w:trPr>
          <w:trHeight w:val="1095" w:hRule="atLeast"/>
        </w:trPr>
        <w:tc>
          <w:tcPr>
            <w:tcW w:w="2160" w:type="dxa"/>
          </w:tcPr>
          <w:p>
            <w:pPr>
              <w:pStyle w:val="TableParagraph"/>
              <w:spacing w:before="11"/>
              <w:rPr>
                <w:sz w:val="22"/>
              </w:rPr>
            </w:pPr>
            <w:r>
              <w:rPr>
                <w:sz w:val="22"/>
              </w:rPr>
              <w:t>Very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High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pattern</w:t>
            </w:r>
          </w:p>
        </w:tc>
        <w:tc>
          <w:tcPr>
            <w:tcW w:w="1980" w:type="dxa"/>
          </w:tcPr>
          <w:p>
            <w:pPr>
              <w:pStyle w:val="TableParagraph"/>
              <w:tabs>
                <w:tab w:pos="1009" w:val="left" w:leader="none"/>
              </w:tabs>
              <w:spacing w:line="276" w:lineRule="auto" w:before="11"/>
              <w:ind w:right="98"/>
              <w:jc w:val="both"/>
              <w:rPr>
                <w:sz w:val="22"/>
              </w:rPr>
            </w:pPr>
            <w:r>
              <w:rPr>
                <w:sz w:val="22"/>
              </w:rPr>
              <w:t>Numerous </w:t>
            </w:r>
            <w:r>
              <w:rPr>
                <w:sz w:val="22"/>
              </w:rPr>
              <w:t>compac</w:t>
            </w:r>
            <w:r>
              <w:rPr>
                <w:sz w:val="22"/>
              </w:rPr>
              <w:t>t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and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elongate</w:t>
            </w:r>
            <w:r>
              <w:rPr>
                <w:spacing w:val="-2"/>
                <w:sz w:val="22"/>
              </w:rPr>
              <w:t>d</w:t>
            </w:r>
            <w:r>
              <w:rPr>
                <w:spacing w:val="-2"/>
                <w:sz w:val="22"/>
              </w:rPr>
              <w:t> clusters</w:t>
            </w:r>
          </w:p>
        </w:tc>
        <w:tc>
          <w:tcPr>
            <w:tcW w:w="2580" w:type="dxa"/>
          </w:tcPr>
          <w:p>
            <w:pPr>
              <w:pStyle w:val="TableParagraph"/>
              <w:tabs>
                <w:tab w:pos="1333" w:val="left" w:leader="none"/>
              </w:tabs>
              <w:spacing w:line="276" w:lineRule="auto" w:before="11"/>
              <w:ind w:right="106" w:hanging="1"/>
              <w:rPr>
                <w:sz w:val="22"/>
              </w:rPr>
            </w:pPr>
            <w:r>
              <w:rPr>
                <w:spacing w:val="-4"/>
                <w:sz w:val="22"/>
              </w:rPr>
              <w:t>More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concentrate</w:t>
            </w:r>
            <w:r>
              <w:rPr>
                <w:spacing w:val="-2"/>
                <w:sz w:val="22"/>
              </w:rPr>
              <w:t>d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2"/>
                <w:sz w:val="22"/>
              </w:rPr>
              <w:t>central/eastern/southern</w:t>
            </w:r>
            <w:r>
              <w:rPr>
                <w:spacing w:val="-2"/>
                <w:sz w:val="22"/>
              </w:rPr>
              <w:t> clusters</w:t>
            </w:r>
          </w:p>
        </w:tc>
        <w:tc>
          <w:tcPr>
            <w:tcW w:w="2145" w:type="dxa"/>
          </w:tcPr>
          <w:p>
            <w:pPr>
              <w:pStyle w:val="TableParagraph"/>
              <w:tabs>
                <w:tab w:pos="1449" w:val="left" w:leader="none"/>
              </w:tabs>
              <w:spacing w:line="276" w:lineRule="auto" w:before="11"/>
              <w:ind w:right="104"/>
              <w:rPr>
                <w:sz w:val="22"/>
              </w:rPr>
            </w:pPr>
            <w:r>
              <w:rPr>
                <w:spacing w:val="-2"/>
                <w:sz w:val="22"/>
              </w:rPr>
              <w:t>Different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spatia</w:t>
            </w:r>
            <w:r>
              <w:rPr>
                <w:spacing w:val="-2"/>
                <w:sz w:val="22"/>
              </w:rPr>
              <w:t>l</w:t>
            </w:r>
            <w:r>
              <w:rPr>
                <w:spacing w:val="-2"/>
                <w:sz w:val="22"/>
              </w:rPr>
              <w:t> concentration.</w:t>
            </w:r>
          </w:p>
        </w:tc>
      </w:tr>
      <w:tr>
        <w:trPr>
          <w:trHeight w:val="1170" w:hRule="atLeast"/>
        </w:trPr>
        <w:tc>
          <w:tcPr>
            <w:tcW w:w="2160" w:type="dxa"/>
          </w:tcPr>
          <w:p>
            <w:pPr>
              <w:pStyle w:val="TableParagraph"/>
              <w:spacing w:before="11"/>
              <w:rPr>
                <w:sz w:val="22"/>
              </w:rPr>
            </w:pPr>
            <w:r>
              <w:rPr>
                <w:sz w:val="22"/>
              </w:rPr>
              <w:t>Lower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classes</w:t>
            </w:r>
          </w:p>
        </w:tc>
        <w:tc>
          <w:tcPr>
            <w:tcW w:w="1980" w:type="dxa"/>
          </w:tcPr>
          <w:p>
            <w:pPr>
              <w:pStyle w:val="TableParagraph"/>
              <w:spacing w:line="276" w:lineRule="auto" w:before="11"/>
              <w:ind w:right="96"/>
              <w:jc w:val="both"/>
              <w:rPr>
                <w:sz w:val="22"/>
              </w:rPr>
            </w:pPr>
            <w:r>
              <w:rPr>
                <w:sz w:val="22"/>
              </w:rPr>
              <w:t>Green/blue </w:t>
            </w:r>
            <w:r>
              <w:rPr>
                <w:sz w:val="22"/>
              </w:rPr>
              <w:t>area</w:t>
            </w:r>
            <w:r>
              <w:rPr>
                <w:sz w:val="22"/>
              </w:rPr>
              <w:t>s</w:t>
            </w:r>
            <w:r>
              <w:rPr>
                <w:sz w:val="22"/>
              </w:rPr>
              <w:t> between highe</w:t>
            </w:r>
            <w:r>
              <w:rPr>
                <w:sz w:val="22"/>
              </w:rPr>
              <w:t>r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patches</w:t>
            </w:r>
          </w:p>
        </w:tc>
        <w:tc>
          <w:tcPr>
            <w:tcW w:w="2580" w:type="dxa"/>
          </w:tcPr>
          <w:p>
            <w:pPr>
              <w:pStyle w:val="TableParagraph"/>
              <w:tabs>
                <w:tab w:pos="1963" w:val="left" w:leader="none"/>
              </w:tabs>
              <w:spacing w:line="276" w:lineRule="auto" w:before="11"/>
              <w:ind w:right="98"/>
              <w:jc w:val="both"/>
              <w:rPr>
                <w:sz w:val="22"/>
              </w:rPr>
            </w:pPr>
            <w:r>
              <w:rPr>
                <w:spacing w:val="-2"/>
                <w:sz w:val="22"/>
              </w:rPr>
              <w:t>Green/light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zone</w:t>
            </w:r>
            <w:r>
              <w:rPr>
                <w:spacing w:val="-2"/>
                <w:sz w:val="22"/>
              </w:rPr>
              <w:t>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especially visible i</w:t>
            </w:r>
            <w:r>
              <w:rPr>
                <w:sz w:val="22"/>
              </w:rPr>
              <w:t>n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north/periphery</w:t>
            </w:r>
          </w:p>
        </w:tc>
        <w:tc>
          <w:tcPr>
            <w:tcW w:w="2145" w:type="dxa"/>
          </w:tcPr>
          <w:p>
            <w:pPr>
              <w:pStyle w:val="TableParagraph"/>
              <w:tabs>
                <w:tab w:pos="1525" w:val="left" w:leader="none"/>
              </w:tabs>
              <w:spacing w:before="11"/>
              <w:jc w:val="both"/>
              <w:rPr>
                <w:sz w:val="22"/>
              </w:rPr>
            </w:pPr>
            <w:r>
              <w:rPr>
                <w:spacing w:val="-4"/>
                <w:sz w:val="22"/>
              </w:rPr>
              <w:t>Both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retain</w:t>
            </w:r>
          </w:p>
          <w:p>
            <w:pPr>
              <w:pStyle w:val="TableParagraph"/>
              <w:spacing w:line="290" w:lineRule="atLeast" w:before="1"/>
              <w:ind w:right="98"/>
              <w:jc w:val="both"/>
              <w:rPr>
                <w:sz w:val="22"/>
              </w:rPr>
            </w:pPr>
            <w:r>
              <w:rPr>
                <w:sz w:val="22"/>
              </w:rPr>
              <w:t>lower-risk areas, </w:t>
            </w:r>
            <w:r>
              <w:rPr>
                <w:sz w:val="22"/>
              </w:rPr>
              <w:t>bu</w:t>
            </w:r>
            <w:r>
              <w:rPr>
                <w:sz w:val="22"/>
              </w:rPr>
              <w:t>t</w:t>
            </w:r>
            <w:r>
              <w:rPr>
                <w:sz w:val="22"/>
              </w:rPr>
              <w:t> their </w:t>
            </w:r>
            <w:r>
              <w:rPr>
                <w:sz w:val="22"/>
              </w:rPr>
              <w:t>distribution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differs.</w:t>
            </w:r>
          </w:p>
        </w:tc>
      </w:tr>
      <w:tr>
        <w:trPr>
          <w:trHeight w:val="930" w:hRule="atLeast"/>
        </w:trPr>
        <w:tc>
          <w:tcPr>
            <w:tcW w:w="2160" w:type="dxa"/>
          </w:tcPr>
          <w:p>
            <w:pPr>
              <w:pStyle w:val="TableParagraph"/>
              <w:spacing w:before="5"/>
              <w:rPr>
                <w:sz w:val="22"/>
              </w:rPr>
            </w:pPr>
            <w:r>
              <w:rPr>
                <w:sz w:val="22"/>
              </w:rPr>
              <w:t>Map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scale</w:t>
            </w:r>
          </w:p>
        </w:tc>
        <w:tc>
          <w:tcPr>
            <w:tcW w:w="1980" w:type="dxa"/>
          </w:tcPr>
          <w:p>
            <w:pPr>
              <w:pStyle w:val="TableParagraph"/>
              <w:spacing w:before="5"/>
              <w:rPr>
                <w:sz w:val="22"/>
              </w:rPr>
            </w:pPr>
            <w:r>
              <w:rPr>
                <w:sz w:val="22"/>
              </w:rPr>
              <w:t>16.4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km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maximum</w:t>
            </w:r>
          </w:p>
        </w:tc>
        <w:tc>
          <w:tcPr>
            <w:tcW w:w="2580" w:type="dxa"/>
          </w:tcPr>
          <w:p>
            <w:pPr>
              <w:pStyle w:val="TableParagraph"/>
              <w:spacing w:before="5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km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maximum</w:t>
            </w:r>
          </w:p>
        </w:tc>
        <w:tc>
          <w:tcPr>
            <w:tcW w:w="2145" w:type="dxa"/>
          </w:tcPr>
          <w:p>
            <w:pPr>
              <w:pStyle w:val="TableParagraph"/>
              <w:tabs>
                <w:tab w:pos="1581" w:val="left" w:leader="none"/>
              </w:tabs>
              <w:spacing w:line="276" w:lineRule="auto" w:before="5"/>
              <w:ind w:right="107"/>
              <w:rPr>
                <w:sz w:val="22"/>
              </w:rPr>
            </w:pPr>
            <w:r>
              <w:rPr>
                <w:spacing w:val="-2"/>
                <w:sz w:val="22"/>
              </w:rPr>
              <w:t>Dif</w:t>
            </w:r>
            <w:r>
              <w:rPr>
                <w:spacing w:val="-2"/>
                <w:sz w:val="22"/>
              </w:rPr>
              <w:t>ferent</w:t>
            </w:r>
            <w:r>
              <w:rPr>
                <w:spacing w:val="80"/>
                <w:sz w:val="22"/>
              </w:rPr>
              <w:t> </w:t>
            </w:r>
            <w:r>
              <w:rPr>
                <w:spacing w:val="-2"/>
                <w:sz w:val="22"/>
              </w:rPr>
              <w:t>cartographic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scal</w:t>
            </w:r>
            <w:r>
              <w:rPr>
                <w:spacing w:val="-4"/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ranges.</w:t>
            </w:r>
          </w:p>
        </w:tc>
      </w:tr>
    </w:tbl>
    <w:p>
      <w:pPr>
        <w:pStyle w:val="TableParagraph"/>
        <w:spacing w:after="0" w:line="276" w:lineRule="auto"/>
        <w:rPr>
          <w:sz w:val="22"/>
        </w:rPr>
        <w:sectPr>
          <w:pgSz w:w="12240" w:h="15840"/>
          <w:pgMar w:header="727" w:footer="0" w:top="1340" w:bottom="280" w:left="1440" w:right="720"/>
        </w:sectPr>
      </w:pPr>
    </w:p>
    <w:p>
      <w:pPr>
        <w:pStyle w:val="BodyText"/>
        <w:spacing w:before="0"/>
        <w:jc w:val="left"/>
        <w:rPr>
          <w:b/>
          <w:sz w:val="7"/>
        </w:rPr>
      </w:pPr>
    </w:p>
    <w:tbl>
      <w:tblPr>
        <w:tblW w:w="0" w:type="auto"/>
        <w:jc w:val="left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0"/>
        <w:gridCol w:w="1980"/>
        <w:gridCol w:w="2580"/>
        <w:gridCol w:w="2145"/>
      </w:tblGrid>
      <w:tr>
        <w:trPr>
          <w:trHeight w:val="750" w:hRule="atLeast"/>
        </w:trPr>
        <w:tc>
          <w:tcPr>
            <w:tcW w:w="216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Feature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Hardoi</w:t>
            </w:r>
          </w:p>
        </w:tc>
        <w:tc>
          <w:tcPr>
            <w:tcW w:w="258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Cachar</w:t>
            </w:r>
          </w:p>
        </w:tc>
        <w:tc>
          <w:tcPr>
            <w:tcW w:w="2145" w:type="dxa"/>
          </w:tcPr>
          <w:p>
            <w:pPr>
              <w:pStyle w:val="TableParagraph"/>
              <w:spacing w:line="276" w:lineRule="auto"/>
              <w:ind w:righ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Comparative</w:t>
            </w:r>
            <w:r>
              <w:rPr>
                <w:b/>
                <w:spacing w:val="-2"/>
                <w:sz w:val="22"/>
              </w:rPr>
              <w:t> observation</w:t>
            </w:r>
          </w:p>
        </w:tc>
      </w:tr>
      <w:tr>
        <w:trPr>
          <w:trHeight w:val="750" w:hRule="atLeast"/>
        </w:trPr>
        <w:tc>
          <w:tcPr>
            <w:tcW w:w="216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Terminology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Risk</w:t>
            </w:r>
          </w:p>
        </w:tc>
        <w:tc>
          <w:tcPr>
            <w:tcW w:w="258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Vulnerability</w:t>
            </w:r>
          </w:p>
        </w:tc>
        <w:tc>
          <w:tcPr>
            <w:tcW w:w="2145" w:type="dxa"/>
          </w:tcPr>
          <w:p>
            <w:pPr>
              <w:pStyle w:val="TableParagraph"/>
              <w:spacing w:line="276" w:lineRule="auto"/>
              <w:ind w:right="100"/>
              <w:rPr>
                <w:sz w:val="22"/>
              </w:rPr>
            </w:pPr>
            <w:r>
              <w:rPr>
                <w:sz w:val="22"/>
              </w:rPr>
              <w:t>Concepts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relate</w:t>
            </w:r>
            <w:r>
              <w:rPr>
                <w:sz w:val="22"/>
              </w:rPr>
              <w:t>d</w:t>
            </w:r>
            <w:r>
              <w:rPr>
                <w:sz w:val="22"/>
              </w:rPr>
              <w:t> but not identical.</w:t>
            </w:r>
          </w:p>
        </w:tc>
      </w:tr>
      <w:tr>
        <w:trPr>
          <w:trHeight w:val="1680" w:hRule="atLeast"/>
        </w:trPr>
        <w:tc>
          <w:tcPr>
            <w:tcW w:w="2160" w:type="dxa"/>
          </w:tcPr>
          <w:p>
            <w:pPr>
              <w:pStyle w:val="TableParagraph"/>
              <w:spacing w:line="276" w:lineRule="auto"/>
              <w:rPr>
                <w:sz w:val="22"/>
              </w:rPr>
            </w:pPr>
            <w:r>
              <w:rPr>
                <w:spacing w:val="-2"/>
                <w:sz w:val="22"/>
              </w:rPr>
              <w:t>Administrative</w:t>
            </w:r>
            <w:r>
              <w:rPr>
                <w:spacing w:val="-2"/>
                <w:sz w:val="22"/>
              </w:rPr>
              <w:t> boundary</w:t>
            </w:r>
          </w:p>
        </w:tc>
        <w:tc>
          <w:tcPr>
            <w:tcW w:w="1980" w:type="dxa"/>
          </w:tcPr>
          <w:p>
            <w:pPr>
              <w:pStyle w:val="TableParagraph"/>
              <w:tabs>
                <w:tab w:pos="1388" w:val="left" w:leader="none"/>
              </w:tabs>
              <w:spacing w:line="276" w:lineRule="auto"/>
              <w:ind w:right="97"/>
              <w:rPr>
                <w:sz w:val="22"/>
              </w:rPr>
            </w:pPr>
            <w:r>
              <w:rPr>
                <w:spacing w:val="-2"/>
                <w:sz w:val="22"/>
              </w:rPr>
              <w:t>Implicit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stud</w:t>
            </w:r>
            <w:r>
              <w:rPr>
                <w:spacing w:val="-2"/>
                <w:sz w:val="22"/>
              </w:rPr>
              <w:t>y</w:t>
            </w:r>
            <w:r>
              <w:rPr>
                <w:spacing w:val="-2"/>
                <w:sz w:val="22"/>
              </w:rPr>
              <w:t> outline</w:t>
            </w:r>
          </w:p>
        </w:tc>
        <w:tc>
          <w:tcPr>
            <w:tcW w:w="2580" w:type="dxa"/>
          </w:tcPr>
          <w:p>
            <w:pPr>
              <w:pStyle w:val="TableParagraph"/>
              <w:spacing w:line="276" w:lineRule="auto"/>
              <w:ind w:hanging="1"/>
              <w:rPr>
                <w:sz w:val="22"/>
              </w:rPr>
            </w:pPr>
            <w:r>
              <w:rPr>
                <w:sz w:val="22"/>
              </w:rPr>
              <w:t>Explicit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Cachar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Distric</w:t>
            </w:r>
            <w:r>
              <w:rPr>
                <w:sz w:val="22"/>
              </w:rPr>
              <w:t>t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legend/boundary</w:t>
            </w:r>
          </w:p>
        </w:tc>
        <w:tc>
          <w:tcPr>
            <w:tcW w:w="2145" w:type="dxa"/>
          </w:tcPr>
          <w:p>
            <w:pPr>
              <w:pStyle w:val="TableParagraph"/>
              <w:tabs>
                <w:tab w:pos="1579" w:val="left" w:leader="none"/>
              </w:tabs>
              <w:spacing w:line="276" w:lineRule="auto"/>
              <w:ind w:right="96"/>
              <w:rPr>
                <w:sz w:val="22"/>
              </w:rPr>
            </w:pPr>
            <w:r>
              <w:rPr>
                <w:spacing w:val="-2"/>
                <w:sz w:val="22"/>
              </w:rPr>
              <w:t>Cachar</w:t>
            </w:r>
            <w:r>
              <w:rPr>
                <w:spacing w:val="80"/>
                <w:sz w:val="22"/>
              </w:rPr>
              <w:t> </w:t>
            </w:r>
            <w:r>
              <w:rPr>
                <w:spacing w:val="-2"/>
                <w:sz w:val="22"/>
              </w:rPr>
              <w:t>communicates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2"/>
                <w:sz w:val="22"/>
              </w:rPr>
              <w:t>administrative</w:t>
            </w:r>
            <w:r>
              <w:rPr>
                <w:spacing w:val="80"/>
                <w:sz w:val="22"/>
              </w:rPr>
              <w:t> </w:t>
            </w:r>
            <w:r>
              <w:rPr>
                <w:spacing w:val="-2"/>
                <w:sz w:val="22"/>
              </w:rPr>
              <w:t>context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mor</w:t>
            </w:r>
            <w:r>
              <w:rPr>
                <w:spacing w:val="-4"/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explicitly.</w:t>
            </w:r>
          </w:p>
        </w:tc>
      </w:tr>
      <w:tr>
        <w:trPr>
          <w:trHeight w:val="930" w:hRule="atLeast"/>
        </w:trPr>
        <w:tc>
          <w:tcPr>
            <w:tcW w:w="2160" w:type="dxa"/>
          </w:tcPr>
          <w:p>
            <w:pPr>
              <w:pStyle w:val="TableParagraph"/>
              <w:tabs>
                <w:tab w:pos="1166" w:val="left" w:leader="none"/>
              </w:tabs>
              <w:spacing w:line="276" w:lineRule="auto"/>
              <w:ind w:right="96"/>
              <w:rPr>
                <w:sz w:val="22"/>
              </w:rPr>
            </w:pPr>
            <w:r>
              <w:rPr>
                <w:spacing w:val="-2"/>
                <w:sz w:val="22"/>
              </w:rPr>
              <w:t>Direct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numerica</w:t>
            </w:r>
            <w:r>
              <w:rPr>
                <w:spacing w:val="-2"/>
                <w:sz w:val="22"/>
              </w:rPr>
              <w:t>l</w:t>
            </w:r>
            <w:r>
              <w:rPr>
                <w:spacing w:val="-2"/>
                <w:sz w:val="22"/>
              </w:rPr>
              <w:t> comparison</w:t>
            </w:r>
          </w:p>
        </w:tc>
        <w:tc>
          <w:tcPr>
            <w:tcW w:w="1980" w:type="dxa"/>
          </w:tcPr>
          <w:p>
            <w:pPr>
              <w:pStyle w:val="TableParagraph"/>
              <w:spacing w:line="276" w:lineRule="auto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supported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b</w:t>
            </w:r>
            <w:r>
              <w:rPr>
                <w:sz w:val="22"/>
              </w:rPr>
              <w:t>y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image</w:t>
            </w:r>
          </w:p>
        </w:tc>
        <w:tc>
          <w:tcPr>
            <w:tcW w:w="258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supported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image</w:t>
            </w:r>
          </w:p>
        </w:tc>
        <w:tc>
          <w:tcPr>
            <w:tcW w:w="2145" w:type="dxa"/>
          </w:tcPr>
          <w:p>
            <w:pPr>
              <w:pStyle w:val="TableParagraph"/>
              <w:tabs>
                <w:tab w:pos="1444" w:val="left" w:leader="none"/>
              </w:tabs>
              <w:spacing w:line="276" w:lineRule="auto"/>
              <w:ind w:right="109"/>
              <w:rPr>
                <w:sz w:val="22"/>
              </w:rPr>
            </w:pPr>
            <w:r>
              <w:rPr>
                <w:spacing w:val="-2"/>
                <w:sz w:val="22"/>
              </w:rPr>
              <w:t>Requires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sourc</w:t>
            </w:r>
            <w:r>
              <w:rPr>
                <w:spacing w:val="-2"/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rasters and metadata.</w:t>
            </w:r>
          </w:p>
        </w:tc>
      </w:tr>
    </w:tbl>
    <w:p>
      <w:pPr>
        <w:pStyle w:val="BodyText"/>
        <w:spacing w:line="276" w:lineRule="auto"/>
        <w:ind w:right="725"/>
      </w:pPr>
      <w:r>
        <w:rPr/>
        <w:t>The central comparative finding is not that one district is universally “more dangerous” than the other</w:t>
      </w:r>
      <w:r>
        <w:rPr/>
        <w:t>.</w:t>
      </w:r>
      <w:r>
        <w:rPr/>
        <w:t> Instead, the two maps display different spatial structures. Hardoi is characterized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many</w:t>
      </w:r>
      <w:r>
        <w:rPr>
          <w:spacing w:val="-3"/>
        </w:rPr>
        <w:t> </w:t>
      </w:r>
      <w:r>
        <w:rPr/>
        <w:t>high-</w:t>
      </w:r>
      <w:r>
        <w:rPr/>
        <w:t>intensity</w:t>
      </w:r>
      <w:r>
        <w:rPr/>
        <w:t> patches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corridors,</w:t>
      </w:r>
      <w:r>
        <w:rPr>
          <w:spacing w:val="40"/>
        </w:rPr>
        <w:t> </w:t>
      </w:r>
      <w:r>
        <w:rPr/>
        <w:t>whereas</w:t>
      </w:r>
      <w:r>
        <w:rPr>
          <w:spacing w:val="40"/>
        </w:rPr>
        <w:t> </w:t>
      </w:r>
      <w:r>
        <w:rPr/>
        <w:t>Cachar</w:t>
      </w:r>
      <w:r>
        <w:rPr>
          <w:spacing w:val="40"/>
        </w:rPr>
        <w:t> </w:t>
      </w:r>
      <w:r>
        <w:rPr/>
        <w:t>shows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broad</w:t>
      </w:r>
      <w:r>
        <w:rPr>
          <w:spacing w:val="40"/>
        </w:rPr>
        <w:t> </w:t>
      </w:r>
      <w:r>
        <w:rPr/>
        <w:t>moderate-to-high</w:t>
      </w:r>
      <w:r>
        <w:rPr>
          <w:spacing w:val="40"/>
        </w:rPr>
        <w:t> </w:t>
      </w:r>
      <w:r>
        <w:rPr/>
        <w:t>field</w:t>
      </w:r>
      <w:r>
        <w:rPr>
          <w:spacing w:val="40"/>
        </w:rPr>
        <w:t> </w:t>
      </w:r>
      <w:r>
        <w:rPr/>
        <w:t>containing</w:t>
      </w:r>
      <w:r>
        <w:rPr>
          <w:spacing w:val="40"/>
        </w:rPr>
        <w:t> </w:t>
      </w:r>
      <w:r>
        <w:rPr/>
        <w:t>localize</w:t>
      </w:r>
      <w:r>
        <w:rPr/>
        <w:t>d</w:t>
      </w:r>
      <w:r>
        <w:rPr/>
        <w:t> very-high concentrations.</w:t>
      </w:r>
    </w:p>
    <w:p>
      <w:pPr>
        <w:pStyle w:val="Heading2"/>
        <w:numPr>
          <w:ilvl w:val="1"/>
          <w:numId w:val="6"/>
        </w:numPr>
        <w:tabs>
          <w:tab w:pos="419" w:val="left" w:leader="none"/>
        </w:tabs>
        <w:spacing w:line="240" w:lineRule="auto" w:before="200" w:after="0"/>
        <w:ind w:left="419" w:right="0" w:hanging="419"/>
        <w:jc w:val="left"/>
      </w:pPr>
      <w:r>
        <w:rPr/>
        <w:t>Supporting</w:t>
      </w:r>
      <w:r>
        <w:rPr>
          <w:spacing w:val="-1"/>
        </w:rPr>
        <w:t> </w:t>
      </w:r>
      <w:r>
        <w:rPr/>
        <w:t>Quantitative</w:t>
      </w:r>
      <w:r>
        <w:rPr>
          <w:spacing w:val="-1"/>
        </w:rPr>
        <w:t> </w:t>
      </w:r>
      <w:r>
        <w:rPr>
          <w:spacing w:val="-2"/>
        </w:rPr>
        <w:t>Evidence</w:t>
      </w:r>
    </w:p>
    <w:p>
      <w:pPr>
        <w:pStyle w:val="BodyText"/>
        <w:spacing w:line="276" w:lineRule="auto" w:before="48"/>
        <w:ind w:right="720"/>
      </w:pPr>
      <w:r>
        <w:rPr/>
        <w:t>The following quantitative comparison is deliberately separated from the supplied map images. It </w:t>
      </w:r>
      <w:r>
        <w:rPr/>
        <w:t>uses</w:t>
      </w:r>
      <w:r>
        <w:rPr/>
        <w:t> values reported in supporting published studies. For Cachar, Borah et al. (2025) reported 31.24% V</w:t>
      </w:r>
      <w:r>
        <w:rPr/>
        <w:t>ery</w:t>
      </w:r>
      <w:r>
        <w:rPr/>
        <w:t> Low, 35.73% Low, 19.74% Moderate, 10.79% High and 2.48% Very High susceptibility. [1] A </w:t>
      </w:r>
      <w:r>
        <w:rPr/>
        <w:t>separate</w:t>
      </w:r>
      <w:r>
        <w:rPr/>
        <w:t> supporting study of the Ramganga River Basin reported Hardoi's zonal distribution as 1.6% Very Low</w:t>
      </w:r>
      <w:r>
        <w:rPr/>
        <w:t>,</w:t>
      </w:r>
      <w:r>
        <w:rPr/>
        <w:t> 9.4%</w:t>
      </w:r>
      <w:r>
        <w:rPr>
          <w:spacing w:val="-5"/>
        </w:rPr>
        <w:t> </w:t>
      </w:r>
      <w:r>
        <w:rPr/>
        <w:t>Low,</w:t>
      </w:r>
      <w:r>
        <w:rPr>
          <w:spacing w:val="-5"/>
        </w:rPr>
        <w:t> </w:t>
      </w:r>
      <w:r>
        <w:rPr/>
        <w:t>14.1%</w:t>
      </w:r>
      <w:r>
        <w:rPr>
          <w:spacing w:val="-5"/>
        </w:rPr>
        <w:t> </w:t>
      </w:r>
      <w:r>
        <w:rPr/>
        <w:t>Moderate,</w:t>
      </w:r>
      <w:r>
        <w:rPr>
          <w:spacing w:val="-5"/>
        </w:rPr>
        <w:t> </w:t>
      </w:r>
      <w:r>
        <w:rPr/>
        <w:t>34.3%</w:t>
      </w:r>
      <w:r>
        <w:rPr>
          <w:spacing w:val="-5"/>
        </w:rPr>
        <w:t> </w:t>
      </w:r>
      <w:r>
        <w:rPr/>
        <w:t>High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40.5%</w:t>
      </w:r>
      <w:r>
        <w:rPr>
          <w:spacing w:val="-5"/>
        </w:rPr>
        <w:t> </w:t>
      </w:r>
      <w:r>
        <w:rPr/>
        <w:t>Very</w:t>
      </w:r>
      <w:r>
        <w:rPr>
          <w:spacing w:val="-5"/>
        </w:rPr>
        <w:t> </w:t>
      </w:r>
      <w:r>
        <w:rPr/>
        <w:t>High.</w:t>
      </w:r>
      <w:r>
        <w:rPr>
          <w:spacing w:val="-5"/>
        </w:rPr>
        <w:t> </w:t>
      </w:r>
      <w:r>
        <w:rPr/>
        <w:t>These</w:t>
      </w:r>
      <w:r>
        <w:rPr>
          <w:spacing w:val="-5"/>
        </w:rPr>
        <w:t> </w:t>
      </w:r>
      <w:r>
        <w:rPr/>
        <w:t>values</w:t>
      </w:r>
      <w:r>
        <w:rPr>
          <w:spacing w:val="-5"/>
        </w:rPr>
        <w:t> </w:t>
      </w:r>
      <w:r>
        <w:rPr/>
        <w:t>should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interpreted</w:t>
      </w:r>
      <w:r>
        <w:rPr>
          <w:spacing w:val="-5"/>
        </w:rPr>
        <w:t> </w:t>
      </w:r>
      <w:r>
        <w:rPr/>
        <w:t>as</w:t>
      </w:r>
      <w:r>
        <w:rPr/>
        <w:t> measurements extracted from the supplied Hardoi map.</w:t>
      </w:r>
    </w:p>
    <w:p>
      <w:pPr>
        <w:pStyle w:val="BodyText"/>
        <w:spacing w:before="48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1760434</wp:posOffset>
            </wp:positionH>
            <wp:positionV relativeFrom="paragraph">
              <wp:posOffset>192229</wp:posOffset>
            </wp:positionV>
            <wp:extent cx="4289021" cy="2561463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9021" cy="2561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6"/>
        <w:jc w:val="left"/>
      </w:pPr>
    </w:p>
    <w:p>
      <w:pPr>
        <w:spacing w:before="0"/>
        <w:ind w:left="214" w:right="0" w:firstLine="0"/>
        <w:jc w:val="left"/>
        <w:rPr>
          <w:b/>
          <w:sz w:val="20"/>
        </w:rPr>
      </w:pPr>
      <w:r>
        <w:rPr>
          <w:b/>
          <w:sz w:val="20"/>
        </w:rPr>
        <w:t>Figure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4.3.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Supporting-study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zonal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distributions;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values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are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not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extracted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from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the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supplied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map</w:t>
      </w:r>
      <w:r>
        <w:rPr>
          <w:b/>
          <w:spacing w:val="-1"/>
          <w:sz w:val="20"/>
        </w:rPr>
        <w:t> </w:t>
      </w:r>
      <w:r>
        <w:rPr>
          <w:b/>
          <w:spacing w:val="-2"/>
          <w:sz w:val="20"/>
        </w:rPr>
        <w:t>images.</w:t>
      </w:r>
    </w:p>
    <w:p>
      <w:pPr>
        <w:spacing w:after="0"/>
        <w:jc w:val="left"/>
        <w:rPr>
          <w:b/>
          <w:sz w:val="20"/>
        </w:rPr>
        <w:sectPr>
          <w:pgSz w:w="12240" w:h="15840"/>
          <w:pgMar w:header="727" w:footer="0" w:top="1340" w:bottom="280" w:left="1440" w:right="720"/>
        </w:sectPr>
      </w:pPr>
    </w:p>
    <w:p>
      <w:pPr>
        <w:pStyle w:val="BodyText"/>
        <w:spacing w:line="276" w:lineRule="auto" w:before="80"/>
        <w:ind w:right="719"/>
      </w:pPr>
      <w:r>
        <w:rPr/>
        <w:t>The supporting values indicate a large difference in the share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High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Very</w:t>
      </w:r>
      <w:r>
        <w:rPr>
          <w:spacing w:val="-4"/>
        </w:rPr>
        <w:t> </w:t>
      </w:r>
      <w:r>
        <w:rPr/>
        <w:t>High</w:t>
      </w:r>
      <w:r>
        <w:rPr>
          <w:spacing w:val="-4"/>
        </w:rPr>
        <w:t> </w:t>
      </w:r>
      <w:r>
        <w:rPr/>
        <w:t>classes:</w:t>
      </w:r>
      <w:r>
        <w:rPr>
          <w:spacing w:val="-4"/>
        </w:rPr>
        <w:t> </w:t>
      </w:r>
      <w:r>
        <w:rPr/>
        <w:t>74.8%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/>
        <w:t> referenced Hardoi basin study and 13.27% for the published Cachar district study. This contrast </w:t>
      </w:r>
      <w:r>
        <w:rPr/>
        <w:t>is</w:t>
      </w:r>
      <w:r>
        <w:rPr/>
        <w:t> informative but not a controlled comparison because the studies use different spatial contexts </w:t>
      </w:r>
      <w:r>
        <w:rPr/>
        <w:t>and</w:t>
      </w:r>
      <w:r>
        <w:rPr/>
        <w:t> </w:t>
      </w:r>
      <w:r>
        <w:rPr>
          <w:spacing w:val="-2"/>
        </w:rPr>
        <w:t>methodologies.</w:t>
      </w:r>
    </w:p>
    <w:p>
      <w:pPr>
        <w:pStyle w:val="Heading4"/>
        <w:numPr>
          <w:ilvl w:val="2"/>
          <w:numId w:val="6"/>
        </w:numPr>
        <w:tabs>
          <w:tab w:pos="540" w:val="left" w:leader="none"/>
        </w:tabs>
        <w:spacing w:line="240" w:lineRule="auto" w:before="200" w:after="0"/>
        <w:ind w:left="540" w:right="0" w:hanging="540"/>
        <w:jc w:val="left"/>
      </w:pPr>
      <w:r>
        <w:rPr>
          <w:spacing w:val="-2"/>
        </w:rPr>
        <w:t>High-to-Very-High</w:t>
      </w:r>
      <w:r>
        <w:rPr>
          <w:spacing w:val="11"/>
        </w:rPr>
        <w:t> </w:t>
      </w:r>
      <w:r>
        <w:rPr>
          <w:spacing w:val="-2"/>
        </w:rPr>
        <w:t>Comparison</w:t>
      </w:r>
    </w:p>
    <w:p>
      <w:pPr>
        <w:pStyle w:val="BodyText"/>
        <w:spacing w:before="11"/>
        <w:jc w:val="left"/>
        <w:rPr>
          <w:b/>
          <w:sz w:val="11"/>
        </w:rPr>
      </w:pPr>
      <w:r>
        <w:rPr>
          <w:b/>
          <w:sz w:val="11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1776536</wp:posOffset>
            </wp:positionH>
            <wp:positionV relativeFrom="paragraph">
              <wp:posOffset>102787</wp:posOffset>
            </wp:positionV>
            <wp:extent cx="4244803" cy="2941986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4803" cy="29419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8"/>
        <w:jc w:val="left"/>
        <w:rPr>
          <w:b/>
          <w:sz w:val="24"/>
        </w:rPr>
      </w:pPr>
    </w:p>
    <w:p>
      <w:pPr>
        <w:spacing w:before="0"/>
        <w:ind w:left="1566" w:right="0" w:firstLine="0"/>
        <w:jc w:val="left"/>
        <w:rPr>
          <w:b/>
          <w:sz w:val="20"/>
        </w:rPr>
      </w:pPr>
      <w:r>
        <w:rPr>
          <w:b/>
          <w:sz w:val="20"/>
        </w:rPr>
        <w:t>Figure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4.4.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High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+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Very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High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percentage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in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supporting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published</w:t>
      </w:r>
      <w:r>
        <w:rPr>
          <w:b/>
          <w:spacing w:val="-3"/>
          <w:sz w:val="20"/>
        </w:rPr>
        <w:t> </w:t>
      </w:r>
      <w:r>
        <w:rPr>
          <w:b/>
          <w:spacing w:val="-2"/>
          <w:sz w:val="20"/>
        </w:rPr>
        <w:t>studies.</w:t>
      </w:r>
    </w:p>
    <w:p>
      <w:pPr>
        <w:pStyle w:val="BodyText"/>
        <w:spacing w:before="4"/>
        <w:jc w:val="left"/>
        <w:rPr>
          <w:b/>
          <w:sz w:val="20"/>
        </w:rPr>
      </w:pPr>
    </w:p>
    <w:p>
      <w:pPr>
        <w:pStyle w:val="BodyText"/>
        <w:spacing w:line="276" w:lineRule="auto" w:before="0"/>
        <w:ind w:right="724"/>
      </w:pPr>
      <w:r>
        <w:rPr/>
        <w:t>The supporting-study chart shows why numerical values must be handled carefully. The Hardoi </w:t>
      </w:r>
      <w:r>
        <w:rPr/>
        <w:t>figure</w:t>
      </w:r>
      <w:r>
        <w:rPr/>
        <w:t> comes from a Ramganga River Basin analysis in which Hardoi is one district within a larger basin. </w:t>
      </w:r>
      <w:r>
        <w:rPr/>
        <w:t>The</w:t>
      </w:r>
      <w:r>
        <w:rPr/>
        <w:t> Cachar values come from a district-specific flood-susceptibility study. The spatial units and </w:t>
      </w:r>
      <w:r>
        <w:rPr/>
        <w:t>modelling</w:t>
      </w:r>
      <w:r>
        <w:rPr/>
        <w:t> frameworks are therefore different.</w:t>
      </w:r>
    </w:p>
    <w:p>
      <w:pPr>
        <w:pStyle w:val="BodyText"/>
        <w:spacing w:line="276" w:lineRule="auto"/>
        <w:ind w:right="720"/>
      </w:pPr>
      <w:r>
        <w:rPr/>
        <w:t>The appropriate use of these values is contextual rather than definitive. They support the </w:t>
      </w:r>
      <w:r>
        <w:rPr/>
        <w:t>visual</w:t>
      </w:r>
      <w:r>
        <w:rPr>
          <w:spacing w:val="40"/>
        </w:rPr>
        <w:t> </w:t>
      </w:r>
      <w:r>
        <w:rPr/>
        <w:t>impression that Hardoi has a substantial high-intensity flood-risk burden in some published </w:t>
      </w:r>
      <w:r>
        <w:rPr/>
        <w:t>analyses,</w:t>
      </w:r>
      <w:r>
        <w:rPr/>
        <w:t> while</w:t>
      </w:r>
      <w:r>
        <w:rPr>
          <w:spacing w:val="26"/>
        </w:rPr>
        <w:t> </w:t>
      </w:r>
      <w:r>
        <w:rPr/>
        <w:t>the</w:t>
      </w:r>
      <w:r>
        <w:rPr>
          <w:spacing w:val="26"/>
        </w:rPr>
        <w:t> </w:t>
      </w:r>
      <w:r>
        <w:rPr/>
        <w:t>Cachar</w:t>
      </w:r>
      <w:r>
        <w:rPr>
          <w:spacing w:val="26"/>
        </w:rPr>
        <w:t> </w:t>
      </w:r>
      <w:r>
        <w:rPr/>
        <w:t>study</w:t>
      </w:r>
      <w:r>
        <w:rPr>
          <w:spacing w:val="26"/>
        </w:rPr>
        <w:t> </w:t>
      </w:r>
      <w:r>
        <w:rPr/>
        <w:t>reports</w:t>
      </w:r>
      <w:r>
        <w:rPr>
          <w:spacing w:val="26"/>
        </w:rPr>
        <w:t> </w:t>
      </w:r>
      <w:r>
        <w:rPr/>
        <w:t>a</w:t>
      </w:r>
      <w:r>
        <w:rPr>
          <w:spacing w:val="26"/>
        </w:rPr>
        <w:t> </w:t>
      </w:r>
      <w:r>
        <w:rPr/>
        <w:t>much larger share in low and very-low susceptibility classes. They </w:t>
      </w:r>
      <w:r>
        <w:rPr/>
        <w:t>do</w:t>
      </w:r>
      <w:r>
        <w:rPr/>
        <w:t> not establish that the two supplied maps were generated from identical criteria.</w:t>
      </w:r>
    </w:p>
    <w:p>
      <w:pPr>
        <w:pStyle w:val="BodyText"/>
        <w:spacing w:after="0" w:line="276" w:lineRule="auto"/>
        <w:sectPr>
          <w:pgSz w:w="12240" w:h="15840"/>
          <w:pgMar w:header="727" w:footer="0" w:top="1340" w:bottom="280" w:left="1440" w:right="720"/>
        </w:sectPr>
      </w:pPr>
    </w:p>
    <w:p>
      <w:pPr>
        <w:pStyle w:val="Heading1"/>
      </w:pPr>
      <w:r>
        <w:rPr/>
        <w:t>CHAPTER</w:t>
      </w:r>
      <w:r>
        <w:rPr>
          <w:spacing w:val="-11"/>
        </w:rPr>
        <w:t> </w:t>
      </w:r>
      <w:r>
        <w:rPr/>
        <w:t>5:</w:t>
      </w:r>
      <w:r>
        <w:rPr>
          <w:spacing w:val="-8"/>
        </w:rPr>
        <w:t> </w:t>
      </w:r>
      <w:r>
        <w:rPr/>
        <w:t>RESULT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DISCUSSION</w:t>
      </w:r>
    </w:p>
    <w:p>
      <w:pPr>
        <w:pStyle w:val="Heading2"/>
        <w:numPr>
          <w:ilvl w:val="1"/>
          <w:numId w:val="7"/>
        </w:numPr>
        <w:tabs>
          <w:tab w:pos="419" w:val="left" w:leader="none"/>
        </w:tabs>
        <w:spacing w:line="240" w:lineRule="auto" w:before="175" w:after="0"/>
        <w:ind w:left="419" w:right="0" w:hanging="419"/>
        <w:jc w:val="left"/>
      </w:pPr>
      <w:r>
        <w:rPr/>
        <w:t>Analysis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Comparative</w:t>
      </w:r>
      <w:r>
        <w:rPr>
          <w:spacing w:val="-1"/>
        </w:rPr>
        <w:t> </w:t>
      </w:r>
      <w:r>
        <w:rPr>
          <w:spacing w:val="-2"/>
        </w:rPr>
        <w:t>Findings</w:t>
      </w:r>
    </w:p>
    <w:p>
      <w:pPr>
        <w:pStyle w:val="BodyText"/>
        <w:spacing w:line="276" w:lineRule="auto" w:before="129"/>
        <w:ind w:right="726"/>
      </w:pPr>
      <w:r>
        <w:rPr/>
        <w:t>The comparison demonstrates that</w:t>
      </w:r>
      <w:r>
        <w:rPr>
          <w:spacing w:val="-4"/>
        </w:rPr>
        <w:t> </w:t>
      </w:r>
      <w:r>
        <w:rPr/>
        <w:t>both</w:t>
      </w:r>
      <w:r>
        <w:rPr>
          <w:spacing w:val="-4"/>
        </w:rPr>
        <w:t> </w:t>
      </w:r>
      <w:r>
        <w:rPr/>
        <w:t>districts</w:t>
      </w:r>
      <w:r>
        <w:rPr>
          <w:spacing w:val="-4"/>
        </w:rPr>
        <w:t> </w:t>
      </w:r>
      <w:r>
        <w:rPr/>
        <w:t>contain</w:t>
      </w:r>
      <w:r>
        <w:rPr>
          <w:spacing w:val="-4"/>
        </w:rPr>
        <w:t> </w:t>
      </w:r>
      <w:r>
        <w:rPr/>
        <w:t>spatially</w:t>
      </w:r>
      <w:r>
        <w:rPr>
          <w:spacing w:val="-4"/>
        </w:rPr>
        <w:t> </w:t>
      </w:r>
      <w:r>
        <w:rPr/>
        <w:t>heterogeneous</w:t>
      </w:r>
      <w:r>
        <w:rPr>
          <w:spacing w:val="-4"/>
        </w:rPr>
        <w:t> </w:t>
      </w:r>
      <w:r>
        <w:rPr/>
        <w:t>flood</w:t>
      </w:r>
      <w:r>
        <w:rPr>
          <w:spacing w:val="-4"/>
        </w:rPr>
        <w:t> </w:t>
      </w:r>
      <w:r>
        <w:rPr/>
        <w:t>conditions.</w:t>
      </w:r>
      <w:r>
        <w:rPr>
          <w:spacing w:val="-4"/>
        </w:rPr>
        <w:t> </w:t>
      </w:r>
      <w:r>
        <w:rPr/>
        <w:t>Neithe</w:t>
      </w:r>
      <w:r>
        <w:rPr/>
        <w:t>r</w:t>
      </w:r>
      <w:r>
        <w:rPr/>
        <w:t> map is uniformly high or uniformly low. Instead, each contains transitions between lower, moderate</w:t>
      </w:r>
      <w:r>
        <w:rPr>
          <w:spacing w:val="-4"/>
        </w:rPr>
        <w:t> </w:t>
      </w:r>
      <w:r>
        <w:rPr/>
        <w:t>and</w:t>
      </w:r>
      <w:r>
        <w:rPr/>
        <w:t> higher classes. This heterogeneity is important for planning because it implies that flood </w:t>
      </w:r>
      <w:r>
        <w:rPr/>
        <w:t>management</w:t>
      </w:r>
      <w:r>
        <w:rPr/>
        <w:t> should be spatially targeted rather than applied identically across an entire district.</w:t>
      </w:r>
    </w:p>
    <w:p>
      <w:pPr>
        <w:pStyle w:val="BodyText"/>
        <w:spacing w:line="276" w:lineRule="auto"/>
        <w:ind w:right="718"/>
      </w:pPr>
      <w:r>
        <w:rPr/>
        <w:t>Hardoi's map is visually characterized by a greater concentration of red Very High Risk patches. </w:t>
      </w:r>
      <w:r>
        <w:rPr/>
        <w:t>The</w:t>
      </w:r>
      <w:r>
        <w:rPr/>
        <w:t> pattern includes both compact clusters and elongated structures. Such patterns are consistent with </w:t>
      </w:r>
      <w:r>
        <w:rPr/>
        <w:t>a</w:t>
      </w:r>
      <w:r>
        <w:rPr/>
        <w:t> landscape where flood risk may be controlled by multiple overlapping factors, including </w:t>
      </w:r>
      <w:r>
        <w:rPr/>
        <w:t>drainage</w:t>
      </w:r>
      <w:r>
        <w:rPr/>
        <w:t> pathways, topography and local land conditions. However, the supplied map does not show those </w:t>
      </w:r>
      <w:r>
        <w:rPr/>
        <w:t>input</w:t>
      </w:r>
      <w:r>
        <w:rPr/>
        <w:t> layers, so causal attribution remains outside the evidence available here.</w:t>
      </w:r>
    </w:p>
    <w:p>
      <w:pPr>
        <w:pStyle w:val="BodyText"/>
        <w:spacing w:line="276" w:lineRule="auto"/>
        <w:ind w:right="721"/>
      </w:pPr>
      <w:r>
        <w:rPr/>
        <w:t>Cachar's</w:t>
      </w:r>
      <w:r>
        <w:rPr>
          <w:spacing w:val="80"/>
        </w:rPr>
        <w:t> </w:t>
      </w:r>
      <w:r>
        <w:rPr/>
        <w:t>map</w:t>
      </w:r>
      <w:r>
        <w:rPr>
          <w:spacing w:val="80"/>
        </w:rPr>
        <w:t> </w:t>
      </w:r>
      <w:r>
        <w:rPr/>
        <w:t>has</w:t>
      </w:r>
      <w:r>
        <w:rPr>
          <w:spacing w:val="80"/>
        </w:rPr>
        <w:t> </w:t>
      </w:r>
      <w:r>
        <w:rPr/>
        <w:t>a</w:t>
      </w:r>
      <w:r>
        <w:rPr>
          <w:spacing w:val="80"/>
        </w:rPr>
        <w:t> </w:t>
      </w:r>
      <w:r>
        <w:rPr/>
        <w:t>different</w:t>
      </w:r>
      <w:r>
        <w:rPr>
          <w:spacing w:val="80"/>
        </w:rPr>
        <w:t> </w:t>
      </w:r>
      <w:r>
        <w:rPr/>
        <w:t>appearance.</w:t>
      </w:r>
      <w:r>
        <w:rPr>
          <w:spacing w:val="80"/>
        </w:rPr>
        <w:t> </w:t>
      </w:r>
      <w:r>
        <w:rPr/>
        <w:t>Large</w:t>
      </w:r>
      <w:r>
        <w:rPr>
          <w:spacing w:val="80"/>
        </w:rPr>
        <w:t> </w:t>
      </w:r>
      <w:r>
        <w:rPr/>
        <w:t>orange</w:t>
      </w:r>
      <w:r>
        <w:rPr>
          <w:spacing w:val="80"/>
        </w:rPr>
        <w:t> </w:t>
      </w:r>
      <w:r>
        <w:rPr/>
        <w:t>and</w:t>
      </w:r>
      <w:r>
        <w:rPr>
          <w:spacing w:val="80"/>
        </w:rPr>
        <w:t> </w:t>
      </w:r>
      <w:r>
        <w:rPr/>
        <w:t>yellow</w:t>
      </w:r>
      <w:r>
        <w:rPr>
          <w:spacing w:val="80"/>
        </w:rPr>
        <w:t> </w:t>
      </w:r>
      <w:r>
        <w:rPr/>
        <w:t>regions</w:t>
      </w:r>
      <w:r>
        <w:rPr>
          <w:spacing w:val="80"/>
        </w:rPr>
        <w:t> </w:t>
      </w:r>
      <w:r>
        <w:rPr/>
        <w:t>create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broad</w:t>
      </w:r>
      <w:r>
        <w:rPr/>
        <w:t> moderate-to-high background, while red Very High areas are concentrated in selected corridors </w:t>
      </w:r>
      <w:r>
        <w:rPr/>
        <w:t>and</w:t>
      </w:r>
      <w:r>
        <w:rPr/>
        <w:t> clusters. This suggests that the</w:t>
      </w:r>
      <w:r>
        <w:rPr>
          <w:spacing w:val="-3"/>
        </w:rPr>
        <w:t> </w:t>
      </w:r>
      <w:r>
        <w:rPr/>
        <w:t>spatial</w:t>
      </w:r>
      <w:r>
        <w:rPr>
          <w:spacing w:val="-3"/>
        </w:rPr>
        <w:t> </w:t>
      </w:r>
      <w:r>
        <w:rPr/>
        <w:t>transition</w:t>
      </w:r>
      <w:r>
        <w:rPr>
          <w:spacing w:val="-3"/>
        </w:rPr>
        <w:t> </w:t>
      </w:r>
      <w:r>
        <w:rPr/>
        <w:t>between</w:t>
      </w:r>
      <w:r>
        <w:rPr>
          <w:spacing w:val="-3"/>
        </w:rPr>
        <w:t> </w:t>
      </w:r>
      <w:r>
        <w:rPr/>
        <w:t>classes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more</w:t>
      </w:r>
      <w:r>
        <w:rPr>
          <w:spacing w:val="-3"/>
        </w:rPr>
        <w:t> </w:t>
      </w:r>
      <w:r>
        <w:rPr/>
        <w:t>gradual</w:t>
      </w:r>
      <w:r>
        <w:rPr>
          <w:spacing w:val="-3"/>
        </w:rPr>
        <w:t> </w:t>
      </w:r>
      <w:r>
        <w:rPr/>
        <w:t>over</w:t>
      </w:r>
      <w:r>
        <w:rPr>
          <w:spacing w:val="-3"/>
        </w:rPr>
        <w:t> </w:t>
      </w:r>
      <w:r>
        <w:rPr/>
        <w:t>larger</w:t>
      </w:r>
      <w:r>
        <w:rPr>
          <w:spacing w:val="-3"/>
        </w:rPr>
        <w:t> </w:t>
      </w:r>
      <w:r>
        <w:rPr/>
        <w:t>parts</w:t>
      </w:r>
      <w:r>
        <w:rPr>
          <w:spacing w:val="-3"/>
        </w:rPr>
        <w:t> </w:t>
      </w:r>
      <w:r>
        <w:rPr/>
        <w:t>of</w:t>
      </w:r>
      <w:r>
        <w:rPr/>
        <w:t> the district, with localized hotspots requiring particularly focused attention.</w:t>
      </w:r>
    </w:p>
    <w:p>
      <w:pPr>
        <w:pStyle w:val="Heading2"/>
        <w:numPr>
          <w:ilvl w:val="1"/>
          <w:numId w:val="7"/>
        </w:numPr>
        <w:tabs>
          <w:tab w:pos="419" w:val="left" w:leader="none"/>
        </w:tabs>
        <w:spacing w:line="240" w:lineRule="auto" w:before="200" w:after="0"/>
        <w:ind w:left="419" w:right="0" w:hanging="419"/>
        <w:jc w:val="left"/>
      </w:pPr>
      <w:r>
        <w:rPr/>
        <w:t>Interpretation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Spatial</w:t>
      </w:r>
      <w:r>
        <w:rPr>
          <w:spacing w:val="-3"/>
        </w:rPr>
        <w:t> </w:t>
      </w:r>
      <w:r>
        <w:rPr>
          <w:spacing w:val="-2"/>
        </w:rPr>
        <w:t>Variables</w:t>
      </w:r>
    </w:p>
    <w:p>
      <w:pPr>
        <w:pStyle w:val="BodyText"/>
        <w:spacing w:line="276" w:lineRule="auto" w:before="248"/>
        <w:ind w:right="724"/>
      </w:pPr>
      <w:r>
        <w:rPr/>
        <w:t>Flood mapping literature repeatedly identifies elevation and slope as important physical controls. </w:t>
      </w:r>
      <w:r>
        <w:rPr/>
        <w:t>Lower</w:t>
      </w:r>
      <w:r>
        <w:rPr/>
        <w:t> elevations can accumulate floodwater,</w:t>
      </w:r>
      <w:r>
        <w:rPr>
          <w:spacing w:val="-4"/>
        </w:rPr>
        <w:t> </w:t>
      </w:r>
      <w:r>
        <w:rPr/>
        <w:t>while</w:t>
      </w:r>
      <w:r>
        <w:rPr>
          <w:spacing w:val="-4"/>
        </w:rPr>
        <w:t> </w:t>
      </w:r>
      <w:r>
        <w:rPr/>
        <w:t>gentle</w:t>
      </w:r>
      <w:r>
        <w:rPr>
          <w:spacing w:val="-4"/>
        </w:rPr>
        <w:t> </w:t>
      </w:r>
      <w:r>
        <w:rPr/>
        <w:t>slopes</w:t>
      </w:r>
      <w:r>
        <w:rPr>
          <w:spacing w:val="-4"/>
        </w:rPr>
        <w:t> </w:t>
      </w:r>
      <w:r>
        <w:rPr/>
        <w:t>may</w:t>
      </w:r>
      <w:r>
        <w:rPr>
          <w:spacing w:val="-4"/>
        </w:rPr>
        <w:t> </w:t>
      </w:r>
      <w:r>
        <w:rPr/>
        <w:t>reduce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rate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water</w:t>
      </w:r>
      <w:r>
        <w:rPr>
          <w:spacing w:val="-4"/>
        </w:rPr>
        <w:t> </w:t>
      </w:r>
      <w:r>
        <w:rPr/>
        <w:t>drains</w:t>
      </w:r>
      <w:r>
        <w:rPr>
          <w:spacing w:val="-4"/>
        </w:rPr>
        <w:t> </w:t>
      </w:r>
      <w:r>
        <w:rPr/>
        <w:t>from</w:t>
      </w:r>
      <w:r>
        <w:rPr/>
        <w:t> an area. Distance from rivers and drainage density influence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probability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area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connected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</w:t>
      </w:r>
      <w:r>
        <w:rPr/>
        <w:t> flood pathway. Rainfall and precipitation influence the amount of water entering the system.</w:t>
      </w:r>
    </w:p>
    <w:p>
      <w:pPr>
        <w:pStyle w:val="BodyText"/>
        <w:spacing w:line="276" w:lineRule="auto"/>
        <w:ind w:right="724"/>
      </w:pPr>
      <w:r>
        <w:rPr/>
        <w:t>Land use and land cover affect runoff, infiltration and exposure. Built-up areas tend to have </w:t>
      </w:r>
      <w:r>
        <w:rPr/>
        <w:t>more</w:t>
      </w:r>
      <w:r>
        <w:rPr/>
        <w:t> impervious surfaces, while vegetation and soil conditions can modify infiltration and surface flow</w:t>
      </w:r>
      <w:r>
        <w:rPr/>
        <w:t>.</w:t>
      </w:r>
      <w:r>
        <w:rPr/>
        <w:t> Population density adds an exposure dimension when the goal is vulnerability rather than </w:t>
      </w:r>
      <w:r>
        <w:rPr/>
        <w:t>physical</w:t>
      </w:r>
      <w:r>
        <w:rPr/>
        <w:t> </w:t>
      </w:r>
      <w:r>
        <w:rPr>
          <w:spacing w:val="-2"/>
        </w:rPr>
        <w:t>susceptibility.</w:t>
      </w:r>
    </w:p>
    <w:p>
      <w:pPr>
        <w:pStyle w:val="BodyText"/>
        <w:spacing w:line="276" w:lineRule="auto"/>
        <w:ind w:right="724"/>
      </w:pPr>
      <w:r>
        <w:rPr/>
        <w:t>These variables provide plausible explanations for patterns visible in the maps, but the report does </w:t>
      </w:r>
      <w:r>
        <w:rPr/>
        <w:t>not</w:t>
      </w:r>
      <w:r>
        <w:rPr/>
        <w:t> infer a specific variable-to-pixel relationship without the source layers. This distinction is </w:t>
      </w:r>
      <w:r>
        <w:rPr/>
        <w:t>particularly</w:t>
      </w:r>
      <w:r>
        <w:rPr/>
        <w:t> important for academic originality and methodological honesty.</w:t>
      </w:r>
    </w:p>
    <w:p>
      <w:pPr>
        <w:pStyle w:val="Heading2"/>
        <w:numPr>
          <w:ilvl w:val="1"/>
          <w:numId w:val="7"/>
        </w:numPr>
        <w:tabs>
          <w:tab w:pos="419" w:val="left" w:leader="none"/>
        </w:tabs>
        <w:spacing w:line="240" w:lineRule="auto" w:before="200" w:after="0"/>
        <w:ind w:left="419" w:right="0" w:hanging="419"/>
        <w:jc w:val="left"/>
      </w:pPr>
      <w:r>
        <w:rPr/>
        <w:t>Comparison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>
          <w:spacing w:val="-2"/>
        </w:rPr>
        <w:t>Literature</w:t>
      </w:r>
    </w:p>
    <w:p>
      <w:pPr>
        <w:pStyle w:val="BodyText"/>
        <w:spacing w:line="276" w:lineRule="auto" w:before="248"/>
        <w:ind w:right="724"/>
      </w:pPr>
      <w:r>
        <w:rPr/>
        <w:t>The spatial patterns observed in the supplied maps are broadly consistent with the literature's use </w:t>
      </w:r>
      <w:r>
        <w:rPr/>
        <w:t>of</w:t>
      </w:r>
      <w:r>
        <w:rPr>
          <w:spacing w:val="80"/>
        </w:rPr>
        <w:t> </w:t>
      </w:r>
      <w:r>
        <w:rPr/>
        <w:t>multi-factor GIS modelling. The Cachar map's concentration of higher vulnerability in central </w:t>
      </w:r>
      <w:r>
        <w:rPr/>
        <w:t>and</w:t>
      </w:r>
      <w:r>
        <w:rPr/>
        <w:t> southern/eastern</w:t>
      </w:r>
      <w:r>
        <w:rPr>
          <w:spacing w:val="80"/>
          <w:w w:val="150"/>
        </w:rPr>
        <w:t> </w:t>
      </w:r>
      <w:r>
        <w:rPr/>
        <w:t>areas</w:t>
      </w:r>
      <w:r>
        <w:rPr>
          <w:spacing w:val="80"/>
          <w:w w:val="150"/>
        </w:rPr>
        <w:t> </w:t>
      </w:r>
      <w:r>
        <w:rPr/>
        <w:t>is</w:t>
      </w:r>
      <w:r>
        <w:rPr>
          <w:spacing w:val="80"/>
          <w:w w:val="150"/>
        </w:rPr>
        <w:t> </w:t>
      </w:r>
      <w:r>
        <w:rPr/>
        <w:t>compatible</w:t>
      </w:r>
      <w:r>
        <w:rPr>
          <w:spacing w:val="80"/>
          <w:w w:val="150"/>
        </w:rPr>
        <w:t> </w:t>
      </w:r>
      <w:r>
        <w:rPr/>
        <w:t>with</w:t>
      </w:r>
      <w:r>
        <w:rPr>
          <w:spacing w:val="80"/>
          <w:w w:val="150"/>
        </w:rPr>
        <w:t> </w:t>
      </w:r>
      <w:r>
        <w:rPr/>
        <w:t>the</w:t>
      </w:r>
      <w:r>
        <w:rPr>
          <w:spacing w:val="80"/>
          <w:w w:val="150"/>
        </w:rPr>
        <w:t> </w:t>
      </w:r>
      <w:r>
        <w:rPr/>
        <w:t>published</w:t>
      </w:r>
      <w:r>
        <w:rPr>
          <w:spacing w:val="80"/>
          <w:w w:val="150"/>
        </w:rPr>
        <w:t> </w:t>
      </w:r>
      <w:r>
        <w:rPr/>
        <w:t>Cachar</w:t>
      </w:r>
      <w:r>
        <w:rPr>
          <w:spacing w:val="80"/>
          <w:w w:val="150"/>
        </w:rPr>
        <w:t> </w:t>
      </w:r>
      <w:r>
        <w:rPr/>
        <w:t>study,</w:t>
      </w:r>
      <w:r>
        <w:rPr>
          <w:spacing w:val="80"/>
          <w:w w:val="150"/>
        </w:rPr>
        <w:t> </w:t>
      </w:r>
      <w:r>
        <w:rPr/>
        <w:t>which</w:t>
      </w:r>
      <w:r>
        <w:rPr>
          <w:spacing w:val="80"/>
          <w:w w:val="150"/>
        </w:rPr>
        <w:t> </w:t>
      </w:r>
      <w:r>
        <w:rPr/>
        <w:t>reported</w:t>
      </w:r>
      <w:r>
        <w:rPr>
          <w:spacing w:val="80"/>
        </w:rPr>
        <w:t> </w:t>
      </w:r>
      <w:r>
        <w:rPr/>
        <w:t>that</w:t>
      </w:r>
      <w:r>
        <w:rPr/>
        <w:t> high-susceptibility areas overlapped with high population density and identified Silchar, Katigorah </w:t>
      </w:r>
      <w:r>
        <w:rPr/>
        <w:t>an</w:t>
      </w:r>
      <w:r>
        <w:rPr/>
        <w:t>d</w:t>
      </w:r>
      <w:r>
        <w:rPr/>
        <w:t> Kalain as more vulnerable locations. [1]</w:t>
      </w:r>
    </w:p>
    <w:p>
      <w:pPr>
        <w:pStyle w:val="BodyText"/>
        <w:spacing w:line="276" w:lineRule="auto"/>
        <w:ind w:right="718"/>
      </w:pPr>
      <w:r>
        <w:rPr/>
        <w:t>The literature also supports the use of drainage, elevation, rainfall and distance from streams/rivers </w:t>
      </w:r>
      <w:r>
        <w:rPr/>
        <w:t>as</w:t>
      </w:r>
      <w:r>
        <w:rPr/>
        <w:t> conditioning</w:t>
      </w:r>
      <w:r>
        <w:rPr>
          <w:spacing w:val="29"/>
        </w:rPr>
        <w:t> </w:t>
      </w:r>
      <w:r>
        <w:rPr/>
        <w:t>variables.</w:t>
      </w:r>
      <w:r>
        <w:rPr>
          <w:spacing w:val="29"/>
        </w:rPr>
        <w:t> </w:t>
      </w:r>
      <w:r>
        <w:rPr/>
        <w:t>The</w:t>
      </w:r>
      <w:r>
        <w:rPr>
          <w:spacing w:val="29"/>
        </w:rPr>
        <w:t> </w:t>
      </w:r>
      <w:r>
        <w:rPr/>
        <w:t>Krishna</w:t>
      </w:r>
      <w:r>
        <w:rPr>
          <w:spacing w:val="29"/>
        </w:rPr>
        <w:t> </w:t>
      </w:r>
      <w:r>
        <w:rPr/>
        <w:t>and</w:t>
      </w:r>
      <w:r>
        <w:rPr>
          <w:spacing w:val="29"/>
        </w:rPr>
        <w:t> </w:t>
      </w:r>
      <w:r>
        <w:rPr/>
        <w:t>Idukki</w:t>
      </w:r>
      <w:r>
        <w:rPr>
          <w:spacing w:val="29"/>
        </w:rPr>
        <w:t> </w:t>
      </w:r>
      <w:r>
        <w:rPr/>
        <w:t>studies</w:t>
      </w:r>
      <w:r>
        <w:rPr>
          <w:spacing w:val="29"/>
        </w:rPr>
        <w:t> </w:t>
      </w:r>
      <w:r>
        <w:rPr/>
        <w:t>demonstrate</w:t>
      </w:r>
      <w:r>
        <w:rPr>
          <w:spacing w:val="14"/>
        </w:rPr>
        <w:t> </w:t>
      </w:r>
      <w:r>
        <w:rPr/>
        <w:t>how</w:t>
      </w:r>
      <w:r>
        <w:rPr>
          <w:spacing w:val="14"/>
        </w:rPr>
        <w:t> </w:t>
      </w:r>
      <w:r>
        <w:rPr/>
        <w:t>such</w:t>
      </w:r>
      <w:r>
        <w:rPr>
          <w:spacing w:val="14"/>
        </w:rPr>
        <w:t> </w:t>
      </w:r>
      <w:r>
        <w:rPr/>
        <w:t>factors</w:t>
      </w:r>
      <w:r>
        <w:rPr>
          <w:spacing w:val="14"/>
        </w:rPr>
        <w:t> </w:t>
      </w:r>
      <w:r>
        <w:rPr/>
        <w:t>can</w:t>
      </w:r>
      <w:r>
        <w:rPr>
          <w:spacing w:val="14"/>
        </w:rPr>
        <w:t> </w:t>
      </w:r>
      <w:r>
        <w:rPr/>
        <w:t>be</w:t>
      </w:r>
      <w:r>
        <w:rPr>
          <w:spacing w:val="14"/>
        </w:rPr>
        <w:t> </w:t>
      </w:r>
      <w:r>
        <w:rPr>
          <w:spacing w:val="-2"/>
        </w:rPr>
        <w:t>combined</w:t>
      </w:r>
    </w:p>
    <w:p>
      <w:pPr>
        <w:pStyle w:val="BodyText"/>
        <w:spacing w:after="0" w:line="276" w:lineRule="auto"/>
        <w:sectPr>
          <w:pgSz w:w="12240" w:h="15840"/>
          <w:pgMar w:header="727" w:footer="0" w:top="1340" w:bottom="280" w:left="1440" w:right="720"/>
        </w:sectPr>
      </w:pPr>
    </w:p>
    <w:p>
      <w:pPr>
        <w:pStyle w:val="BodyText"/>
        <w:spacing w:line="276" w:lineRule="auto" w:before="80"/>
        <w:ind w:right="718"/>
      </w:pPr>
      <w:r>
        <w:rPr/>
        <w:t>through AHP, while the recent Savitri and Damodar studies show continued development of GIS-</w:t>
      </w:r>
      <w:r>
        <w:rPr/>
        <w:t>AHP</w:t>
      </w:r>
      <w:r>
        <w:rPr/>
        <w:t> workflows. [3][4][5][6]</w:t>
      </w:r>
    </w:p>
    <w:p>
      <w:pPr>
        <w:pStyle w:val="BodyText"/>
        <w:spacing w:line="276" w:lineRule="auto"/>
        <w:ind w:right="721"/>
      </w:pPr>
      <w:r>
        <w:rPr/>
        <w:t>The main contribution of the present project is therefore comparative rather than algorithmic. </w:t>
      </w:r>
      <w:r>
        <w:rPr/>
        <w:t>It</w:t>
      </w:r>
      <w:r>
        <w:rPr/>
        <w:t> demonstrates how two independently presented flood maps can be read using a common </w:t>
      </w:r>
      <w:r>
        <w:rPr/>
        <w:t>analytical</w:t>
      </w:r>
      <w:r>
        <w:rPr/>
        <w:t> framework while preserving their original terminology and acknowledging differences in data </w:t>
      </w:r>
      <w:r>
        <w:rPr/>
        <w:t>an</w:t>
      </w:r>
      <w:r>
        <w:rPr/>
        <w:t>d</w:t>
      </w:r>
      <w:r>
        <w:rPr/>
        <w:t> </w:t>
      </w:r>
      <w:r>
        <w:rPr>
          <w:spacing w:val="-2"/>
        </w:rPr>
        <w:t>methodology.</w:t>
      </w:r>
    </w:p>
    <w:p>
      <w:pPr>
        <w:pStyle w:val="Heading2"/>
        <w:numPr>
          <w:ilvl w:val="1"/>
          <w:numId w:val="7"/>
        </w:numPr>
        <w:tabs>
          <w:tab w:pos="419" w:val="left" w:leader="none"/>
        </w:tabs>
        <w:spacing w:line="240" w:lineRule="auto" w:before="200" w:after="0"/>
        <w:ind w:left="419" w:right="0" w:hanging="419"/>
        <w:jc w:val="left"/>
      </w:pPr>
      <w:r>
        <w:rPr/>
        <w:t>Key</w:t>
      </w:r>
      <w:r>
        <w:rPr>
          <w:spacing w:val="-1"/>
        </w:rPr>
        <w:t> </w:t>
      </w:r>
      <w:r>
        <w:rPr/>
        <w:t>Comparative</w:t>
      </w:r>
      <w:r>
        <w:rPr>
          <w:spacing w:val="-1"/>
        </w:rPr>
        <w:t> </w:t>
      </w:r>
      <w:r>
        <w:rPr>
          <w:spacing w:val="-2"/>
        </w:rPr>
        <w:t>Results</w:t>
      </w:r>
    </w:p>
    <w:p>
      <w:pPr>
        <w:pStyle w:val="BodyText"/>
        <w:spacing w:before="18"/>
        <w:jc w:val="left"/>
        <w:rPr>
          <w:b/>
          <w:sz w:val="20"/>
        </w:rPr>
      </w:pPr>
    </w:p>
    <w:tbl>
      <w:tblPr>
        <w:tblW w:w="0" w:type="auto"/>
        <w:jc w:val="left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40"/>
        <w:gridCol w:w="2505"/>
        <w:gridCol w:w="2280"/>
        <w:gridCol w:w="2040"/>
      </w:tblGrid>
      <w:tr>
        <w:trPr>
          <w:trHeight w:val="375" w:hRule="atLeast"/>
        </w:trPr>
        <w:tc>
          <w:tcPr>
            <w:tcW w:w="2040" w:type="dxa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Result</w:t>
            </w:r>
          </w:p>
        </w:tc>
        <w:tc>
          <w:tcPr>
            <w:tcW w:w="2505" w:type="dxa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Hardoi</w:t>
            </w:r>
          </w:p>
        </w:tc>
        <w:tc>
          <w:tcPr>
            <w:tcW w:w="2280" w:type="dxa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Cachar</w:t>
            </w:r>
          </w:p>
        </w:tc>
        <w:tc>
          <w:tcPr>
            <w:tcW w:w="2040" w:type="dxa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Implication</w:t>
            </w:r>
          </w:p>
        </w:tc>
      </w:tr>
      <w:tr>
        <w:trPr>
          <w:trHeight w:val="1455" w:hRule="atLeast"/>
        </w:trPr>
        <w:tc>
          <w:tcPr>
            <w:tcW w:w="2040" w:type="dxa"/>
          </w:tcPr>
          <w:p>
            <w:pPr>
              <w:pStyle w:val="TableParagraph"/>
              <w:tabs>
                <w:tab w:pos="1391" w:val="left" w:leader="none"/>
              </w:tabs>
              <w:spacing w:line="276" w:lineRule="auto" w:before="1"/>
              <w:ind w:right="105"/>
              <w:rPr>
                <w:sz w:val="22"/>
              </w:rPr>
            </w:pPr>
            <w:r>
              <w:rPr>
                <w:spacing w:val="-2"/>
                <w:sz w:val="22"/>
              </w:rPr>
              <w:t>Dominant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visua</w:t>
            </w:r>
            <w:r>
              <w:rPr>
                <w:spacing w:val="-2"/>
                <w:sz w:val="22"/>
              </w:rPr>
              <w:t>l</w:t>
            </w:r>
            <w:r>
              <w:rPr>
                <w:spacing w:val="-2"/>
                <w:sz w:val="22"/>
              </w:rPr>
              <w:t> pattern</w:t>
            </w:r>
          </w:p>
        </w:tc>
        <w:tc>
          <w:tcPr>
            <w:tcW w:w="2505" w:type="dxa"/>
          </w:tcPr>
          <w:p>
            <w:pPr>
              <w:pStyle w:val="TableParagraph"/>
              <w:tabs>
                <w:tab w:pos="830" w:val="left" w:leader="none"/>
                <w:tab w:pos="1951" w:val="left" w:leader="none"/>
              </w:tabs>
              <w:spacing w:line="276" w:lineRule="auto" w:before="1"/>
              <w:ind w:right="96"/>
              <w:rPr>
                <w:sz w:val="22"/>
              </w:rPr>
            </w:pPr>
            <w:r>
              <w:rPr>
                <w:spacing w:val="-4"/>
                <w:sz w:val="22"/>
              </w:rPr>
              <w:t>Many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High/Very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Hig</w:t>
            </w:r>
            <w:r>
              <w:rPr>
                <w:spacing w:val="-4"/>
                <w:sz w:val="22"/>
              </w:rPr>
              <w:t>h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clusters</w:t>
            </w:r>
          </w:p>
        </w:tc>
        <w:tc>
          <w:tcPr>
            <w:tcW w:w="2280" w:type="dxa"/>
          </w:tcPr>
          <w:p>
            <w:pPr>
              <w:pStyle w:val="TableParagraph"/>
              <w:spacing w:line="276" w:lineRule="auto" w:before="1"/>
              <w:ind w:right="96"/>
              <w:jc w:val="both"/>
              <w:rPr>
                <w:sz w:val="22"/>
              </w:rPr>
            </w:pPr>
            <w:r>
              <w:rPr>
                <w:sz w:val="22"/>
              </w:rPr>
              <w:t>Broad </w:t>
            </w:r>
            <w:r>
              <w:rPr>
                <w:sz w:val="22"/>
              </w:rPr>
              <w:t>Moderate/High</w:t>
            </w:r>
            <w:r>
              <w:rPr>
                <w:sz w:val="22"/>
              </w:rPr>
              <w:t> field with Very </w:t>
            </w:r>
            <w:r>
              <w:rPr>
                <w:sz w:val="22"/>
              </w:rPr>
              <w:t>Hig</w:t>
            </w:r>
            <w:r>
              <w:rPr>
                <w:sz w:val="22"/>
              </w:rPr>
              <w:t>h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clusters</w:t>
            </w:r>
          </w:p>
        </w:tc>
        <w:tc>
          <w:tcPr>
            <w:tcW w:w="2040" w:type="dxa"/>
          </w:tcPr>
          <w:p>
            <w:pPr>
              <w:pStyle w:val="TableParagraph"/>
              <w:tabs>
                <w:tab w:pos="1292" w:val="left" w:leader="none"/>
                <w:tab w:pos="1344" w:val="left" w:leader="none"/>
              </w:tabs>
              <w:spacing w:line="276" w:lineRule="auto" w:before="1"/>
              <w:ind w:right="104"/>
              <w:rPr>
                <w:sz w:val="22"/>
              </w:rPr>
            </w:pPr>
            <w:r>
              <w:rPr>
                <w:spacing w:val="-2"/>
                <w:sz w:val="22"/>
              </w:rPr>
              <w:t>Different</w:t>
            </w:r>
            <w:r>
              <w:rPr>
                <w:sz w:val="22"/>
              </w:rPr>
              <w:tab/>
              <w:tab/>
            </w:r>
            <w:r>
              <w:rPr>
                <w:spacing w:val="-2"/>
                <w:sz w:val="22"/>
              </w:rPr>
              <w:t>spatia</w:t>
            </w:r>
            <w:r>
              <w:rPr>
                <w:spacing w:val="-2"/>
                <w:sz w:val="22"/>
              </w:rPr>
              <w:t>l</w:t>
            </w:r>
            <w:r>
              <w:rPr>
                <w:spacing w:val="-2"/>
                <w:sz w:val="22"/>
              </w:rPr>
              <w:t> structures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requir</w:t>
            </w:r>
            <w:r>
              <w:rPr>
                <w:spacing w:val="-2"/>
                <w:sz w:val="22"/>
              </w:rPr>
              <w:t>e</w:t>
            </w:r>
            <w:r>
              <w:rPr>
                <w:spacing w:val="-2"/>
                <w:sz w:val="22"/>
              </w:rPr>
              <w:t> dif</w:t>
            </w:r>
            <w:r>
              <w:rPr>
                <w:spacing w:val="-2"/>
                <w:sz w:val="22"/>
              </w:rPr>
              <w:t>ferent</w:t>
            </w:r>
            <w:r>
              <w:rPr>
                <w:spacing w:val="-2"/>
                <w:sz w:val="22"/>
              </w:rPr>
              <w:t> prioritization.</w:t>
            </w:r>
          </w:p>
        </w:tc>
      </w:tr>
      <w:tr>
        <w:trPr>
          <w:trHeight w:val="1455" w:hRule="atLeast"/>
        </w:trPr>
        <w:tc>
          <w:tcPr>
            <w:tcW w:w="2040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High-risk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continuity</w:t>
            </w:r>
          </w:p>
        </w:tc>
        <w:tc>
          <w:tcPr>
            <w:tcW w:w="2505" w:type="dxa"/>
          </w:tcPr>
          <w:p>
            <w:pPr>
              <w:pStyle w:val="TableParagraph"/>
              <w:tabs>
                <w:tab w:pos="991" w:val="left" w:leader="none"/>
                <w:tab w:pos="2066" w:val="left" w:leader="none"/>
              </w:tabs>
              <w:spacing w:line="276" w:lineRule="auto" w:before="1"/>
              <w:ind w:right="103"/>
              <w:rPr>
                <w:sz w:val="22"/>
              </w:rPr>
            </w:pPr>
            <w:r>
              <w:rPr>
                <w:spacing w:val="-2"/>
                <w:sz w:val="22"/>
              </w:rPr>
              <w:t>Several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elongated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an</w:t>
            </w:r>
            <w:r>
              <w:rPr>
                <w:spacing w:val="-4"/>
                <w:sz w:val="22"/>
              </w:rPr>
              <w:t>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clustered features</w:t>
            </w:r>
          </w:p>
        </w:tc>
        <w:tc>
          <w:tcPr>
            <w:tcW w:w="2280" w:type="dxa"/>
          </w:tcPr>
          <w:p>
            <w:pPr>
              <w:pStyle w:val="TableParagraph"/>
              <w:spacing w:line="276" w:lineRule="auto" w:before="1"/>
              <w:ind w:right="96"/>
              <w:rPr>
                <w:sz w:val="22"/>
              </w:rPr>
            </w:pPr>
            <w:r>
              <w:rPr>
                <w:spacing w:val="-2"/>
                <w:sz w:val="22"/>
              </w:rPr>
              <w:t>Selected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2"/>
                <w:sz w:val="22"/>
              </w:rPr>
              <w:t>elongated/clustered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features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within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broa</w:t>
            </w:r>
            <w:r>
              <w:rPr>
                <w:sz w:val="22"/>
              </w:rPr>
              <w:t>d</w:t>
            </w:r>
            <w:r>
              <w:rPr>
                <w:sz w:val="22"/>
              </w:rPr>
              <w:t> higher classes</w:t>
            </w:r>
          </w:p>
        </w:tc>
        <w:tc>
          <w:tcPr>
            <w:tcW w:w="2040" w:type="dxa"/>
          </w:tcPr>
          <w:p>
            <w:pPr>
              <w:pStyle w:val="TableParagraph"/>
              <w:spacing w:line="276" w:lineRule="auto" w:before="1"/>
              <w:ind w:right="103"/>
              <w:jc w:val="both"/>
              <w:rPr>
                <w:sz w:val="22"/>
              </w:rPr>
            </w:pPr>
            <w:r>
              <w:rPr>
                <w:sz w:val="22"/>
              </w:rPr>
              <w:t>Drainage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terrai</w:t>
            </w:r>
            <w:r>
              <w:rPr>
                <w:sz w:val="22"/>
              </w:rPr>
              <w:t>n</w:t>
            </w:r>
            <w:r>
              <w:rPr>
                <w:sz w:val="22"/>
              </w:rPr>
              <w:t> layers should b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 examined in both.</w:t>
            </w:r>
          </w:p>
        </w:tc>
      </w:tr>
      <w:tr>
        <w:trPr>
          <w:trHeight w:val="1455" w:hRule="atLeast"/>
        </w:trPr>
        <w:tc>
          <w:tcPr>
            <w:tcW w:w="2040" w:type="dxa"/>
          </w:tcPr>
          <w:p>
            <w:pPr>
              <w:pStyle w:val="TableParagraph"/>
              <w:spacing w:line="276" w:lineRule="auto" w:before="1"/>
              <w:ind w:right="166"/>
              <w:rPr>
                <w:sz w:val="22"/>
              </w:rPr>
            </w:pPr>
            <w:r>
              <w:rPr>
                <w:spacing w:val="-2"/>
                <w:sz w:val="22"/>
              </w:rPr>
              <w:t>Low-</w:t>
            </w:r>
            <w:r>
              <w:rPr>
                <w:spacing w:val="-2"/>
                <w:sz w:val="22"/>
              </w:rPr>
              <w:t>risk</w:t>
            </w:r>
            <w:r>
              <w:rPr>
                <w:spacing w:val="-2"/>
                <w:sz w:val="22"/>
              </w:rPr>
              <w:t> distribution</w:t>
            </w:r>
          </w:p>
        </w:tc>
        <w:tc>
          <w:tcPr>
            <w:tcW w:w="2505" w:type="dxa"/>
          </w:tcPr>
          <w:p>
            <w:pPr>
              <w:pStyle w:val="TableParagraph"/>
              <w:spacing w:line="276" w:lineRule="auto" w:before="1"/>
              <w:ind w:right="363"/>
              <w:rPr>
                <w:sz w:val="22"/>
              </w:rPr>
            </w:pPr>
            <w:r>
              <w:rPr>
                <w:spacing w:val="-2"/>
                <w:sz w:val="22"/>
              </w:rPr>
              <w:t>Interspersed/peripheral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green-blue areas</w:t>
            </w:r>
          </w:p>
        </w:tc>
        <w:tc>
          <w:tcPr>
            <w:tcW w:w="2280" w:type="dxa"/>
          </w:tcPr>
          <w:p>
            <w:pPr>
              <w:pStyle w:val="TableParagraph"/>
              <w:tabs>
                <w:tab w:pos="1123" w:val="left" w:leader="none"/>
              </w:tabs>
              <w:spacing w:line="276" w:lineRule="auto" w:before="1"/>
              <w:ind w:right="101"/>
              <w:rPr>
                <w:sz w:val="22"/>
              </w:rPr>
            </w:pPr>
            <w:r>
              <w:rPr>
                <w:spacing w:val="-4"/>
                <w:sz w:val="22"/>
              </w:rPr>
              <w:t>More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pronounce</w:t>
            </w:r>
            <w:r>
              <w:rPr>
                <w:spacing w:val="-2"/>
                <w:sz w:val="22"/>
              </w:rPr>
              <w:t>d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2"/>
                <w:sz w:val="22"/>
              </w:rPr>
              <w:t>northern/peripheral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lower classes</w:t>
            </w:r>
          </w:p>
        </w:tc>
        <w:tc>
          <w:tcPr>
            <w:tcW w:w="2040" w:type="dxa"/>
          </w:tcPr>
          <w:p>
            <w:pPr>
              <w:pStyle w:val="TableParagraph"/>
              <w:tabs>
                <w:tab w:pos="622" w:val="left" w:leader="none"/>
                <w:tab w:pos="1469" w:val="left" w:leader="none"/>
              </w:tabs>
              <w:spacing w:line="276" w:lineRule="auto" w:before="1"/>
              <w:ind w:right="101"/>
              <w:rPr>
                <w:sz w:val="22"/>
              </w:rPr>
            </w:pPr>
            <w:r>
              <w:rPr>
                <w:spacing w:val="-2"/>
                <w:sz w:val="22"/>
              </w:rPr>
              <w:t>Lower-risk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area</w:t>
            </w:r>
            <w:r>
              <w:rPr>
                <w:spacing w:val="-4"/>
                <w:sz w:val="22"/>
              </w:rPr>
              <w:t>s</w:t>
            </w:r>
            <w:r>
              <w:rPr>
                <w:spacing w:val="-4"/>
                <w:sz w:val="22"/>
              </w:rPr>
              <w:t> can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support</w:t>
            </w:r>
            <w:r>
              <w:rPr>
                <w:sz w:val="22"/>
              </w:rPr>
              <w:tab/>
            </w:r>
            <w:r>
              <w:rPr>
                <w:spacing w:val="-38"/>
                <w:sz w:val="22"/>
              </w:rPr>
              <w:t> </w:t>
            </w:r>
            <w:r>
              <w:rPr>
                <w:spacing w:val="-2"/>
                <w:sz w:val="22"/>
              </w:rPr>
              <w:t>safe</w:t>
            </w:r>
            <w:r>
              <w:rPr>
                <w:spacing w:val="-2"/>
                <w:sz w:val="22"/>
              </w:rPr>
              <w:t>r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2"/>
                <w:sz w:val="22"/>
              </w:rPr>
              <w:t>infrastructure</w:t>
            </w:r>
            <w:r>
              <w:rPr>
                <w:spacing w:val="-2"/>
                <w:sz w:val="22"/>
              </w:rPr>
              <w:t> planning.</w:t>
            </w:r>
          </w:p>
        </w:tc>
      </w:tr>
      <w:tr>
        <w:trPr>
          <w:trHeight w:val="1815" w:hRule="atLeast"/>
        </w:trPr>
        <w:tc>
          <w:tcPr>
            <w:tcW w:w="2040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Map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communication</w:t>
            </w:r>
          </w:p>
        </w:tc>
        <w:tc>
          <w:tcPr>
            <w:tcW w:w="2505" w:type="dxa"/>
          </w:tcPr>
          <w:p>
            <w:pPr>
              <w:pStyle w:val="TableParagraph"/>
              <w:spacing w:line="276" w:lineRule="auto" w:before="1"/>
              <w:rPr>
                <w:sz w:val="22"/>
              </w:rPr>
            </w:pPr>
            <w:r>
              <w:rPr>
                <w:sz w:val="22"/>
              </w:rPr>
              <w:t>Simple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direct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ris</w:t>
            </w:r>
            <w:r>
              <w:rPr>
                <w:sz w:val="22"/>
              </w:rPr>
              <w:t>k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legend</w:t>
            </w:r>
          </w:p>
        </w:tc>
        <w:tc>
          <w:tcPr>
            <w:tcW w:w="2280" w:type="dxa"/>
          </w:tcPr>
          <w:p>
            <w:pPr>
              <w:pStyle w:val="TableParagraph"/>
              <w:tabs>
                <w:tab w:pos="1542" w:val="left" w:leader="none"/>
              </w:tabs>
              <w:spacing w:line="276" w:lineRule="auto" w:before="1"/>
              <w:ind w:right="105"/>
              <w:jc w:val="both"/>
              <w:rPr>
                <w:sz w:val="22"/>
              </w:rPr>
            </w:pPr>
            <w:r>
              <w:rPr>
                <w:spacing w:val="-2"/>
                <w:sz w:val="22"/>
              </w:rPr>
              <w:t>Detailed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distric</w:t>
            </w:r>
            <w:r>
              <w:rPr>
                <w:spacing w:val="-2"/>
                <w:sz w:val="22"/>
              </w:rPr>
              <w:t>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boundary 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compas</w:t>
            </w:r>
            <w:r>
              <w:rPr>
                <w:sz w:val="22"/>
              </w:rPr>
              <w:t>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presentation</w:t>
            </w:r>
          </w:p>
        </w:tc>
        <w:tc>
          <w:tcPr>
            <w:tcW w:w="2040" w:type="dxa"/>
          </w:tcPr>
          <w:p>
            <w:pPr>
              <w:pStyle w:val="TableParagraph"/>
              <w:tabs>
                <w:tab w:pos="598" w:val="left" w:leader="none"/>
                <w:tab w:pos="1267" w:val="left" w:leader="none"/>
              </w:tabs>
              <w:spacing w:line="276" w:lineRule="auto" w:before="1"/>
              <w:ind w:right="95"/>
              <w:rPr>
                <w:sz w:val="22"/>
              </w:rPr>
            </w:pPr>
            <w:r>
              <w:rPr>
                <w:sz w:val="22"/>
              </w:rPr>
              <w:t>Both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readable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but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serve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slightl</w:t>
            </w:r>
            <w:r>
              <w:rPr>
                <w:spacing w:val="-2"/>
                <w:sz w:val="22"/>
              </w:rPr>
              <w:t>y</w:t>
            </w:r>
            <w:r>
              <w:rPr>
                <w:spacing w:val="-2"/>
                <w:sz w:val="22"/>
              </w:rPr>
              <w:t> dif</w:t>
            </w:r>
            <w:r>
              <w:rPr>
                <w:spacing w:val="-2"/>
                <w:sz w:val="22"/>
              </w:rPr>
              <w:t>ferent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2"/>
                <w:sz w:val="22"/>
              </w:rPr>
              <w:t>communication</w:t>
            </w:r>
            <w:r>
              <w:rPr>
                <w:spacing w:val="-2"/>
                <w:sz w:val="22"/>
              </w:rPr>
              <w:t> needs.</w:t>
            </w:r>
          </w:p>
        </w:tc>
      </w:tr>
      <w:tr>
        <w:trPr>
          <w:trHeight w:val="1455" w:hRule="atLeast"/>
        </w:trPr>
        <w:tc>
          <w:tcPr>
            <w:tcW w:w="2040" w:type="dxa"/>
          </w:tcPr>
          <w:p>
            <w:pPr>
              <w:pStyle w:val="TableParagraph"/>
              <w:spacing w:line="276" w:lineRule="auto" w:before="1"/>
              <w:ind w:right="166"/>
              <w:rPr>
                <w:sz w:val="22"/>
              </w:rPr>
            </w:pPr>
            <w:r>
              <w:rPr>
                <w:spacing w:val="-2"/>
                <w:sz w:val="22"/>
              </w:rPr>
              <w:t>Quantitative</w:t>
            </w:r>
            <w:r>
              <w:rPr>
                <w:spacing w:val="-2"/>
                <w:sz w:val="22"/>
              </w:rPr>
              <w:t> certainty</w:t>
            </w:r>
          </w:p>
        </w:tc>
        <w:tc>
          <w:tcPr>
            <w:tcW w:w="2505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available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image</w:t>
            </w:r>
          </w:p>
        </w:tc>
        <w:tc>
          <w:tcPr>
            <w:tcW w:w="2280" w:type="dxa"/>
          </w:tcPr>
          <w:p>
            <w:pPr>
              <w:pStyle w:val="TableParagraph"/>
              <w:tabs>
                <w:tab w:pos="1679" w:val="left" w:leader="none"/>
              </w:tabs>
              <w:spacing w:line="276" w:lineRule="auto" w:before="1"/>
              <w:ind w:right="102"/>
              <w:jc w:val="both"/>
              <w:rPr>
                <w:sz w:val="22"/>
              </w:rPr>
            </w:pPr>
            <w:r>
              <w:rPr>
                <w:spacing w:val="-2"/>
                <w:sz w:val="22"/>
              </w:rPr>
              <w:t>Published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stud</w:t>
            </w:r>
            <w:r>
              <w:rPr>
                <w:spacing w:val="-4"/>
                <w:sz w:val="22"/>
              </w:rPr>
              <w:t>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provides external clas</w:t>
            </w:r>
            <w:r>
              <w:rPr>
                <w:sz w:val="22"/>
              </w:rPr>
              <w:t>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percentages</w:t>
            </w:r>
          </w:p>
        </w:tc>
        <w:tc>
          <w:tcPr>
            <w:tcW w:w="2040" w:type="dxa"/>
          </w:tcPr>
          <w:p>
            <w:pPr>
              <w:pStyle w:val="TableParagraph"/>
              <w:tabs>
                <w:tab w:pos="1650" w:val="left" w:leader="none"/>
              </w:tabs>
              <w:spacing w:line="276" w:lineRule="auto" w:before="1"/>
              <w:ind w:right="99"/>
              <w:jc w:val="both"/>
              <w:rPr>
                <w:sz w:val="22"/>
              </w:rPr>
            </w:pPr>
            <w:r>
              <w:rPr>
                <w:sz w:val="22"/>
              </w:rPr>
              <w:t>Source raster </w:t>
            </w:r>
            <w:r>
              <w:rPr>
                <w:sz w:val="22"/>
              </w:rPr>
              <w:t>an</w:t>
            </w:r>
            <w:r>
              <w:rPr>
                <w:sz w:val="22"/>
              </w:rPr>
              <w:t>d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metadata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ar</w:t>
            </w:r>
            <w:r>
              <w:rPr>
                <w:spacing w:val="-4"/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required for direc</w:t>
            </w:r>
            <w:r>
              <w:rPr>
                <w:sz w:val="22"/>
              </w:rPr>
              <w:t>t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comparison.</w:t>
            </w:r>
          </w:p>
        </w:tc>
      </w:tr>
    </w:tbl>
    <w:p>
      <w:pPr>
        <w:pStyle w:val="TableParagraph"/>
        <w:spacing w:after="0" w:line="276" w:lineRule="auto"/>
        <w:jc w:val="both"/>
        <w:rPr>
          <w:sz w:val="22"/>
        </w:rPr>
        <w:sectPr>
          <w:pgSz w:w="12240" w:h="15840"/>
          <w:pgMar w:header="727" w:footer="0" w:top="1340" w:bottom="280" w:left="1440" w:right="720"/>
        </w:sectPr>
      </w:pPr>
    </w:p>
    <w:p>
      <w:pPr>
        <w:pStyle w:val="Heading2"/>
        <w:numPr>
          <w:ilvl w:val="1"/>
          <w:numId w:val="7"/>
        </w:numPr>
        <w:tabs>
          <w:tab w:pos="419" w:val="left" w:leader="none"/>
        </w:tabs>
        <w:spacing w:line="240" w:lineRule="auto" w:before="80" w:after="0"/>
        <w:ind w:left="419" w:right="0" w:hanging="419"/>
        <w:jc w:val="left"/>
      </w:pPr>
      <w:r>
        <w:rPr>
          <w:spacing w:val="-2"/>
        </w:rPr>
        <w:t>Recommendations</w:t>
      </w:r>
    </w:p>
    <w:p>
      <w:pPr>
        <w:pStyle w:val="BodyText"/>
        <w:spacing w:line="276" w:lineRule="auto" w:before="249"/>
        <w:ind w:right="724"/>
      </w:pPr>
      <w:r>
        <w:rPr/>
        <w:t>The recommendations are designed around the evidence available and the limitations identified in </w:t>
      </w:r>
      <w:r>
        <w:rPr/>
        <w:t>the</w:t>
      </w:r>
      <w:r>
        <w:rPr/>
        <w:t> </w:t>
      </w:r>
      <w:r>
        <w:rPr>
          <w:spacing w:val="-2"/>
        </w:rPr>
        <w:t>methodology.</w:t>
      </w:r>
    </w:p>
    <w:p>
      <w:pPr>
        <w:pStyle w:val="ListParagraph"/>
        <w:numPr>
          <w:ilvl w:val="2"/>
          <w:numId w:val="7"/>
        </w:numPr>
        <w:tabs>
          <w:tab w:pos="720" w:val="left" w:leader="none"/>
        </w:tabs>
        <w:spacing w:line="336" w:lineRule="auto" w:before="200" w:after="0"/>
        <w:ind w:left="720" w:right="731" w:hanging="360"/>
        <w:jc w:val="left"/>
        <w:rPr>
          <w:sz w:val="22"/>
        </w:rPr>
      </w:pPr>
      <w:r>
        <w:rPr>
          <w:sz w:val="22"/>
        </w:rPr>
        <w:t>Create a common GIS geodatabase for both</w:t>
      </w:r>
      <w:r>
        <w:rPr>
          <w:spacing w:val="-3"/>
          <w:sz w:val="22"/>
        </w:rPr>
        <w:t> </w:t>
      </w:r>
      <w:r>
        <w:rPr>
          <w:sz w:val="22"/>
        </w:rPr>
        <w:t>districts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same</w:t>
      </w:r>
      <w:r>
        <w:rPr>
          <w:spacing w:val="-3"/>
          <w:sz w:val="22"/>
        </w:rPr>
        <w:t> </w:t>
      </w:r>
      <w:r>
        <w:rPr>
          <w:sz w:val="22"/>
        </w:rPr>
        <w:t>coordinate</w:t>
      </w:r>
      <w:r>
        <w:rPr>
          <w:spacing w:val="-3"/>
          <w:sz w:val="22"/>
        </w:rPr>
        <w:t> </w:t>
      </w:r>
      <w:r>
        <w:rPr>
          <w:sz w:val="22"/>
        </w:rPr>
        <w:t>reference</w:t>
      </w:r>
      <w:r>
        <w:rPr>
          <w:spacing w:val="-3"/>
          <w:sz w:val="22"/>
        </w:rPr>
        <w:t> </w:t>
      </w:r>
      <w:r>
        <w:rPr>
          <w:sz w:val="22"/>
        </w:rPr>
        <w:t>system,</w:t>
      </w:r>
      <w:r>
        <w:rPr>
          <w:sz w:val="22"/>
        </w:rPr>
        <w:t> raster resolution and spatial extent rules.</w:t>
      </w:r>
    </w:p>
    <w:p>
      <w:pPr>
        <w:pStyle w:val="ListParagraph"/>
        <w:numPr>
          <w:ilvl w:val="2"/>
          <w:numId w:val="7"/>
        </w:numPr>
        <w:tabs>
          <w:tab w:pos="720" w:val="left" w:leader="none"/>
        </w:tabs>
        <w:spacing w:line="336" w:lineRule="auto" w:before="0" w:after="0"/>
        <w:ind w:left="720" w:right="722" w:hanging="360"/>
        <w:jc w:val="left"/>
        <w:rPr>
          <w:sz w:val="22"/>
        </w:rPr>
      </w:pPr>
      <w:r>
        <w:rPr>
          <w:sz w:val="22"/>
        </w:rPr>
        <w:t>Use a harmonized set of flood-conditioning factors: elevation, slope, rainfall, drainage density</w:t>
      </w:r>
      <w:r>
        <w:rPr>
          <w:sz w:val="22"/>
        </w:rPr>
        <w:t>,</w:t>
      </w:r>
      <w:r>
        <w:rPr>
          <w:spacing w:val="80"/>
          <w:sz w:val="22"/>
        </w:rPr>
        <w:t> </w:t>
      </w:r>
      <w:r>
        <w:rPr>
          <w:sz w:val="22"/>
        </w:rPr>
        <w:t>distance from rivers/streams, LULC, NDVI, TWI and soil where data quality permits.</w:t>
      </w:r>
    </w:p>
    <w:p>
      <w:pPr>
        <w:pStyle w:val="ListParagraph"/>
        <w:numPr>
          <w:ilvl w:val="2"/>
          <w:numId w:val="7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Document</w:t>
      </w:r>
      <w:r>
        <w:rPr>
          <w:spacing w:val="-1"/>
          <w:sz w:val="22"/>
        </w:rPr>
        <w:t> </w:t>
      </w:r>
      <w:r>
        <w:rPr>
          <w:sz w:val="22"/>
        </w:rPr>
        <w:t>every</w:t>
      </w:r>
      <w:r>
        <w:rPr>
          <w:spacing w:val="-1"/>
          <w:sz w:val="22"/>
        </w:rPr>
        <w:t> </w:t>
      </w:r>
      <w:r>
        <w:rPr>
          <w:sz w:val="22"/>
        </w:rPr>
        <w:t>reclassification</w:t>
      </w:r>
      <w:r>
        <w:rPr>
          <w:spacing w:val="-1"/>
          <w:sz w:val="22"/>
        </w:rPr>
        <w:t> </w:t>
      </w:r>
      <w:r>
        <w:rPr>
          <w:sz w:val="22"/>
        </w:rPr>
        <w:t>threshold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AHP</w:t>
      </w:r>
      <w:r>
        <w:rPr>
          <w:spacing w:val="-1"/>
          <w:sz w:val="22"/>
        </w:rPr>
        <w:t> </w:t>
      </w:r>
      <w:r>
        <w:rPr>
          <w:sz w:val="22"/>
        </w:rPr>
        <w:t>weight</w:t>
      </w:r>
      <w:r>
        <w:rPr>
          <w:spacing w:val="-1"/>
          <w:sz w:val="22"/>
        </w:rPr>
        <w:t> </w:t>
      </w:r>
      <w:r>
        <w:rPr>
          <w:sz w:val="22"/>
        </w:rPr>
        <w:t>so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analysis</w:t>
      </w:r>
      <w:r>
        <w:rPr>
          <w:spacing w:val="-1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reproducible.</w:t>
      </w:r>
    </w:p>
    <w:p>
      <w:pPr>
        <w:pStyle w:val="ListParagraph"/>
        <w:numPr>
          <w:ilvl w:val="2"/>
          <w:numId w:val="7"/>
        </w:numPr>
        <w:tabs>
          <w:tab w:pos="720" w:val="left" w:leader="none"/>
        </w:tabs>
        <w:spacing w:line="336" w:lineRule="auto" w:before="102" w:after="0"/>
        <w:ind w:left="720" w:right="725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same</w:t>
      </w:r>
      <w:r>
        <w:rPr>
          <w:spacing w:val="27"/>
          <w:sz w:val="22"/>
        </w:rPr>
        <w:t> </w:t>
      </w:r>
      <w:r>
        <w:rPr>
          <w:sz w:val="22"/>
        </w:rPr>
        <w:t>five-class</w:t>
      </w:r>
      <w:r>
        <w:rPr>
          <w:spacing w:val="27"/>
          <w:sz w:val="22"/>
        </w:rPr>
        <w:t> </w:t>
      </w:r>
      <w:r>
        <w:rPr>
          <w:sz w:val="22"/>
        </w:rPr>
        <w:t>classification</w:t>
      </w:r>
      <w:r>
        <w:rPr>
          <w:spacing w:val="27"/>
          <w:sz w:val="22"/>
        </w:rPr>
        <w:t> </w:t>
      </w:r>
      <w:r>
        <w:rPr>
          <w:sz w:val="22"/>
        </w:rPr>
        <w:t>method</w:t>
      </w:r>
      <w:r>
        <w:rPr>
          <w:spacing w:val="27"/>
          <w:sz w:val="22"/>
        </w:rPr>
        <w:t> </w:t>
      </w:r>
      <w:r>
        <w:rPr>
          <w:sz w:val="22"/>
        </w:rPr>
        <w:t>for</w:t>
      </w:r>
      <w:r>
        <w:rPr>
          <w:spacing w:val="27"/>
          <w:sz w:val="22"/>
        </w:rPr>
        <w:t> </w:t>
      </w:r>
      <w:r>
        <w:rPr>
          <w:sz w:val="22"/>
        </w:rPr>
        <w:t>both</w:t>
      </w:r>
      <w:r>
        <w:rPr>
          <w:spacing w:val="27"/>
          <w:sz w:val="22"/>
        </w:rPr>
        <w:t> </w:t>
      </w:r>
      <w:r>
        <w:rPr>
          <w:sz w:val="22"/>
        </w:rPr>
        <w:t>districts</w:t>
      </w:r>
      <w:r>
        <w:rPr>
          <w:spacing w:val="27"/>
          <w:sz w:val="22"/>
        </w:rPr>
        <w:t> </w:t>
      </w:r>
      <w:r>
        <w:rPr>
          <w:sz w:val="22"/>
        </w:rPr>
        <w:t>if</w:t>
      </w:r>
      <w:r>
        <w:rPr>
          <w:spacing w:val="27"/>
          <w:sz w:val="22"/>
        </w:rPr>
        <w:t> </w:t>
      </w:r>
      <w:r>
        <w:rPr>
          <w:sz w:val="22"/>
        </w:rPr>
        <w:t>a</w:t>
      </w:r>
      <w:r>
        <w:rPr>
          <w:spacing w:val="27"/>
          <w:sz w:val="22"/>
        </w:rPr>
        <w:t> </w:t>
      </w:r>
      <w:r>
        <w:rPr>
          <w:sz w:val="22"/>
        </w:rPr>
        <w:t>direct</w:t>
      </w:r>
      <w:r>
        <w:rPr>
          <w:spacing w:val="27"/>
          <w:sz w:val="22"/>
        </w:rPr>
        <w:t> </w:t>
      </w:r>
      <w:r>
        <w:rPr>
          <w:sz w:val="22"/>
        </w:rPr>
        <w:t>comparative</w:t>
      </w:r>
      <w:r>
        <w:rPr>
          <w:spacing w:val="27"/>
          <w:sz w:val="22"/>
        </w:rPr>
        <w:t> </w:t>
      </w:r>
      <w:r>
        <w:rPr>
          <w:sz w:val="22"/>
        </w:rPr>
        <w:t>map</w:t>
      </w:r>
      <w:r>
        <w:rPr>
          <w:spacing w:val="27"/>
          <w:sz w:val="22"/>
        </w:rPr>
        <w:t> </w:t>
      </w:r>
      <w:r>
        <w:rPr>
          <w:sz w:val="22"/>
        </w:rPr>
        <w:t>is</w:t>
      </w:r>
      <w:r>
        <w:rPr>
          <w:sz w:val="22"/>
        </w:rPr>
        <w:t> </w:t>
      </w:r>
      <w:r>
        <w:rPr>
          <w:spacing w:val="-2"/>
          <w:sz w:val="22"/>
        </w:rPr>
        <w:t>required.</w:t>
      </w:r>
    </w:p>
    <w:p>
      <w:pPr>
        <w:pStyle w:val="ListParagraph"/>
        <w:numPr>
          <w:ilvl w:val="2"/>
          <w:numId w:val="7"/>
        </w:numPr>
        <w:tabs>
          <w:tab w:pos="720" w:val="left" w:leader="none"/>
        </w:tabs>
        <w:spacing w:line="336" w:lineRule="auto" w:before="0" w:after="0"/>
        <w:ind w:left="720" w:right="719" w:hanging="360"/>
        <w:jc w:val="left"/>
        <w:rPr>
          <w:sz w:val="22"/>
        </w:rPr>
      </w:pPr>
      <w:r>
        <w:rPr>
          <w:sz w:val="22"/>
        </w:rPr>
        <w:t>Validate</w:t>
      </w:r>
      <w:r>
        <w:rPr>
          <w:spacing w:val="40"/>
          <w:sz w:val="22"/>
        </w:rPr>
        <w:t> </w:t>
      </w:r>
      <w:r>
        <w:rPr>
          <w:sz w:val="22"/>
        </w:rPr>
        <w:t>both</w:t>
      </w:r>
      <w:r>
        <w:rPr>
          <w:spacing w:val="40"/>
          <w:sz w:val="22"/>
        </w:rPr>
        <w:t> </w:t>
      </w:r>
      <w:r>
        <w:rPr>
          <w:sz w:val="22"/>
        </w:rPr>
        <w:t>outputs</w:t>
      </w:r>
      <w:r>
        <w:rPr>
          <w:spacing w:val="40"/>
          <w:sz w:val="22"/>
        </w:rPr>
        <w:t> </w:t>
      </w:r>
      <w:r>
        <w:rPr>
          <w:sz w:val="22"/>
        </w:rPr>
        <w:t>using</w:t>
      </w:r>
      <w:r>
        <w:rPr>
          <w:spacing w:val="40"/>
          <w:sz w:val="22"/>
        </w:rPr>
        <w:t> </w:t>
      </w:r>
      <w:r>
        <w:rPr>
          <w:sz w:val="22"/>
        </w:rPr>
        <w:t>an</w:t>
      </w:r>
      <w:r>
        <w:rPr>
          <w:spacing w:val="40"/>
          <w:sz w:val="22"/>
        </w:rPr>
        <w:t> </w:t>
      </w:r>
      <w:r>
        <w:rPr>
          <w:sz w:val="22"/>
        </w:rPr>
        <w:t>independent</w:t>
      </w:r>
      <w:r>
        <w:rPr>
          <w:spacing w:val="40"/>
          <w:sz w:val="22"/>
        </w:rPr>
        <w:t> </w:t>
      </w:r>
      <w:r>
        <w:rPr>
          <w:sz w:val="22"/>
        </w:rPr>
        <w:t>historical</w:t>
      </w:r>
      <w:r>
        <w:rPr>
          <w:spacing w:val="40"/>
          <w:sz w:val="22"/>
        </w:rPr>
        <w:t> </w:t>
      </w:r>
      <w:r>
        <w:rPr>
          <w:sz w:val="22"/>
        </w:rPr>
        <w:t>flood-inventory</w:t>
      </w:r>
      <w:r>
        <w:rPr>
          <w:spacing w:val="40"/>
          <w:sz w:val="22"/>
        </w:rPr>
        <w:t> </w:t>
      </w:r>
      <w:r>
        <w:rPr>
          <w:sz w:val="22"/>
        </w:rPr>
        <w:t>dataset</w:t>
      </w:r>
      <w:r>
        <w:rPr>
          <w:spacing w:val="40"/>
          <w:sz w:val="22"/>
        </w:rPr>
        <w:t> </w:t>
      </w:r>
      <w:r>
        <w:rPr>
          <w:sz w:val="22"/>
        </w:rPr>
        <w:t>derived</w:t>
      </w:r>
      <w:r>
        <w:rPr>
          <w:spacing w:val="40"/>
          <w:sz w:val="22"/>
        </w:rPr>
        <w:t> </w:t>
      </w:r>
      <w:r>
        <w:rPr>
          <w:sz w:val="22"/>
        </w:rPr>
        <w:t>from</w:t>
      </w:r>
      <w:r>
        <w:rPr>
          <w:spacing w:val="40"/>
          <w:sz w:val="22"/>
        </w:rPr>
        <w:t> </w:t>
      </w:r>
      <w:r>
        <w:rPr>
          <w:sz w:val="22"/>
        </w:rPr>
        <w:t>satellite observations or official records.</w:t>
      </w:r>
    </w:p>
    <w:p>
      <w:pPr>
        <w:pStyle w:val="ListParagraph"/>
        <w:numPr>
          <w:ilvl w:val="2"/>
          <w:numId w:val="7"/>
        </w:numPr>
        <w:tabs>
          <w:tab w:pos="720" w:val="left" w:leader="none"/>
        </w:tabs>
        <w:spacing w:line="336" w:lineRule="auto" w:before="1" w:after="0"/>
        <w:ind w:left="720" w:right="731" w:hanging="360"/>
        <w:jc w:val="left"/>
        <w:rPr>
          <w:sz w:val="22"/>
        </w:rPr>
      </w:pPr>
      <w:r>
        <w:rPr>
          <w:sz w:val="22"/>
        </w:rPr>
        <w:t>Report</w:t>
      </w:r>
      <w:r>
        <w:rPr>
          <w:spacing w:val="40"/>
          <w:sz w:val="22"/>
        </w:rPr>
        <w:t> </w:t>
      </w:r>
      <w:r>
        <w:rPr>
          <w:sz w:val="22"/>
        </w:rPr>
        <w:t>class-wise</w:t>
      </w:r>
      <w:r>
        <w:rPr>
          <w:spacing w:val="40"/>
          <w:sz w:val="22"/>
        </w:rPr>
        <w:t> </w:t>
      </w:r>
      <w:r>
        <w:rPr>
          <w:sz w:val="22"/>
        </w:rPr>
        <w:t>area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40"/>
          <w:sz w:val="22"/>
        </w:rPr>
        <w:t> </w:t>
      </w:r>
      <w:r>
        <w:rPr>
          <w:sz w:val="22"/>
        </w:rPr>
        <w:t>square</w:t>
      </w:r>
      <w:r>
        <w:rPr>
          <w:spacing w:val="26"/>
          <w:sz w:val="22"/>
        </w:rPr>
        <w:t> </w:t>
      </w:r>
      <w:r>
        <w:rPr>
          <w:sz w:val="22"/>
        </w:rPr>
        <w:t>kilometres</w:t>
      </w:r>
      <w:r>
        <w:rPr>
          <w:spacing w:val="26"/>
          <w:sz w:val="22"/>
        </w:rPr>
        <w:t> </w:t>
      </w:r>
      <w:r>
        <w:rPr>
          <w:sz w:val="22"/>
        </w:rPr>
        <w:t>and</w:t>
      </w:r>
      <w:r>
        <w:rPr>
          <w:spacing w:val="26"/>
          <w:sz w:val="22"/>
        </w:rPr>
        <w:t> </w:t>
      </w:r>
      <w:r>
        <w:rPr>
          <w:sz w:val="22"/>
        </w:rPr>
        <w:t>percentage</w:t>
      </w:r>
      <w:r>
        <w:rPr>
          <w:spacing w:val="26"/>
          <w:sz w:val="22"/>
        </w:rPr>
        <w:t> </w:t>
      </w:r>
      <w:r>
        <w:rPr>
          <w:sz w:val="22"/>
        </w:rPr>
        <w:t>rather</w:t>
      </w:r>
      <w:r>
        <w:rPr>
          <w:spacing w:val="26"/>
          <w:sz w:val="22"/>
        </w:rPr>
        <w:t> </w:t>
      </w:r>
      <w:r>
        <w:rPr>
          <w:sz w:val="22"/>
        </w:rPr>
        <w:t>than</w:t>
      </w:r>
      <w:r>
        <w:rPr>
          <w:spacing w:val="26"/>
          <w:sz w:val="22"/>
        </w:rPr>
        <w:t> </w:t>
      </w:r>
      <w:r>
        <w:rPr>
          <w:sz w:val="22"/>
        </w:rPr>
        <w:t>relying</w:t>
      </w:r>
      <w:r>
        <w:rPr>
          <w:spacing w:val="26"/>
          <w:sz w:val="22"/>
        </w:rPr>
        <w:t> </w:t>
      </w:r>
      <w:r>
        <w:rPr>
          <w:sz w:val="22"/>
        </w:rPr>
        <w:t>only</w:t>
      </w:r>
      <w:r>
        <w:rPr>
          <w:spacing w:val="26"/>
          <w:sz w:val="22"/>
        </w:rPr>
        <w:t> </w:t>
      </w:r>
      <w:r>
        <w:rPr>
          <w:sz w:val="22"/>
        </w:rPr>
        <w:t>on</w:t>
      </w:r>
      <w:r>
        <w:rPr>
          <w:spacing w:val="26"/>
          <w:sz w:val="22"/>
        </w:rPr>
        <w:t> </w:t>
      </w:r>
      <w:r>
        <w:rPr>
          <w:sz w:val="22"/>
        </w:rPr>
        <w:t>visual</w:t>
      </w:r>
      <w:r>
        <w:rPr>
          <w:sz w:val="22"/>
        </w:rPr>
        <w:t> colour dominance.</w:t>
      </w:r>
    </w:p>
    <w:p>
      <w:pPr>
        <w:pStyle w:val="ListParagraph"/>
        <w:numPr>
          <w:ilvl w:val="2"/>
          <w:numId w:val="7"/>
        </w:numPr>
        <w:tabs>
          <w:tab w:pos="720" w:val="left" w:leader="none"/>
        </w:tabs>
        <w:spacing w:line="336" w:lineRule="auto" w:before="0" w:after="0"/>
        <w:ind w:left="720" w:right="722" w:hanging="360"/>
        <w:jc w:val="left"/>
        <w:rPr>
          <w:sz w:val="22"/>
        </w:rPr>
      </w:pPr>
      <w:r>
        <w:rPr>
          <w:sz w:val="22"/>
        </w:rPr>
        <w:t>Add</w:t>
      </w:r>
      <w:r>
        <w:rPr>
          <w:spacing w:val="80"/>
          <w:sz w:val="22"/>
        </w:rPr>
        <w:t> </w:t>
      </w:r>
      <w:r>
        <w:rPr>
          <w:sz w:val="22"/>
        </w:rPr>
        <w:t>roads,</w:t>
      </w:r>
      <w:r>
        <w:rPr>
          <w:spacing w:val="80"/>
          <w:sz w:val="22"/>
        </w:rPr>
        <w:t> </w:t>
      </w:r>
      <w:r>
        <w:rPr>
          <w:sz w:val="22"/>
        </w:rPr>
        <w:t>settlements,</w:t>
      </w:r>
      <w:r>
        <w:rPr>
          <w:spacing w:val="80"/>
          <w:sz w:val="22"/>
        </w:rPr>
        <w:t> </w:t>
      </w:r>
      <w:r>
        <w:rPr>
          <w:sz w:val="22"/>
        </w:rPr>
        <w:t>critical</w:t>
      </w:r>
      <w:r>
        <w:rPr>
          <w:spacing w:val="80"/>
          <w:sz w:val="22"/>
        </w:rPr>
        <w:t> </w:t>
      </w:r>
      <w:r>
        <w:rPr>
          <w:sz w:val="22"/>
        </w:rPr>
        <w:t>infrastructure</w:t>
      </w:r>
      <w:r>
        <w:rPr>
          <w:spacing w:val="80"/>
          <w:sz w:val="22"/>
        </w:rPr>
        <w:t> </w:t>
      </w:r>
      <w:r>
        <w:rPr>
          <w:sz w:val="22"/>
        </w:rPr>
        <w:t>and</w:t>
      </w:r>
      <w:r>
        <w:rPr>
          <w:spacing w:val="80"/>
          <w:sz w:val="22"/>
        </w:rPr>
        <w:t> </w:t>
      </w:r>
      <w:r>
        <w:rPr>
          <w:sz w:val="22"/>
        </w:rPr>
        <w:t>population</w:t>
      </w:r>
      <w:r>
        <w:rPr>
          <w:spacing w:val="80"/>
          <w:sz w:val="22"/>
        </w:rPr>
        <w:t> </w:t>
      </w:r>
      <w:r>
        <w:rPr>
          <w:sz w:val="22"/>
        </w:rPr>
        <w:t>layers</w:t>
      </w:r>
      <w:r>
        <w:rPr>
          <w:spacing w:val="80"/>
          <w:sz w:val="22"/>
        </w:rPr>
        <w:t> </w:t>
      </w:r>
      <w:r>
        <w:rPr>
          <w:sz w:val="22"/>
        </w:rPr>
        <w:t>to</w:t>
      </w:r>
      <w:r>
        <w:rPr>
          <w:spacing w:val="80"/>
          <w:sz w:val="22"/>
        </w:rPr>
        <w:t> </w:t>
      </w:r>
      <w:r>
        <w:rPr>
          <w:sz w:val="22"/>
        </w:rPr>
        <w:t>convert</w:t>
      </w:r>
      <w:r>
        <w:rPr>
          <w:spacing w:val="80"/>
          <w:sz w:val="22"/>
        </w:rPr>
        <w:t> </w:t>
      </w:r>
      <w:r>
        <w:rPr>
          <w:sz w:val="22"/>
        </w:rPr>
        <w:t>physical</w:t>
      </w:r>
      <w:r>
        <w:rPr>
          <w:sz w:val="22"/>
        </w:rPr>
        <w:t> susceptibility into a more decision-oriented vulnerability/risk assessment.</w:t>
      </w:r>
    </w:p>
    <w:p>
      <w:pPr>
        <w:pStyle w:val="ListParagraph"/>
        <w:numPr>
          <w:ilvl w:val="2"/>
          <w:numId w:val="7"/>
        </w:numPr>
        <w:tabs>
          <w:tab w:pos="720" w:val="left" w:leader="none"/>
        </w:tabs>
        <w:spacing w:line="336" w:lineRule="auto" w:before="0" w:after="0"/>
        <w:ind w:left="720" w:right="731" w:hanging="360"/>
        <w:jc w:val="left"/>
        <w:rPr>
          <w:sz w:val="22"/>
        </w:rPr>
      </w:pPr>
      <w:r>
        <w:rPr>
          <w:sz w:val="22"/>
        </w:rPr>
        <w:t>Prioritize</w:t>
      </w:r>
      <w:r>
        <w:rPr>
          <w:spacing w:val="80"/>
          <w:sz w:val="22"/>
        </w:rPr>
        <w:t> </w:t>
      </w:r>
      <w:r>
        <w:rPr>
          <w:sz w:val="22"/>
        </w:rPr>
        <w:t>high</w:t>
      </w:r>
      <w:r>
        <w:rPr>
          <w:spacing w:val="80"/>
          <w:sz w:val="22"/>
        </w:rPr>
        <w:t> </w:t>
      </w:r>
      <w:r>
        <w:rPr>
          <w:sz w:val="22"/>
        </w:rPr>
        <w:t>and</w:t>
      </w:r>
      <w:r>
        <w:rPr>
          <w:spacing w:val="80"/>
          <w:sz w:val="22"/>
        </w:rPr>
        <w:t> </w:t>
      </w:r>
      <w:r>
        <w:rPr>
          <w:sz w:val="22"/>
        </w:rPr>
        <w:t>very-high</w:t>
      </w:r>
      <w:r>
        <w:rPr>
          <w:spacing w:val="80"/>
          <w:sz w:val="22"/>
        </w:rPr>
        <w:t> </w:t>
      </w:r>
      <w:r>
        <w:rPr>
          <w:sz w:val="22"/>
        </w:rPr>
        <w:t>zones</w:t>
      </w:r>
      <w:r>
        <w:rPr>
          <w:spacing w:val="71"/>
          <w:sz w:val="22"/>
        </w:rPr>
        <w:t> </w:t>
      </w:r>
      <w:r>
        <w:rPr>
          <w:sz w:val="22"/>
        </w:rPr>
        <w:t>for</w:t>
      </w:r>
      <w:r>
        <w:rPr>
          <w:spacing w:val="71"/>
          <w:sz w:val="22"/>
        </w:rPr>
        <w:t> </w:t>
      </w:r>
      <w:r>
        <w:rPr>
          <w:sz w:val="22"/>
        </w:rPr>
        <w:t>drainage</w:t>
      </w:r>
      <w:r>
        <w:rPr>
          <w:spacing w:val="71"/>
          <w:sz w:val="22"/>
        </w:rPr>
        <w:t> </w:t>
      </w:r>
      <w:r>
        <w:rPr>
          <w:sz w:val="22"/>
        </w:rPr>
        <w:t>improvement,</w:t>
      </w:r>
      <w:r>
        <w:rPr>
          <w:spacing w:val="71"/>
          <w:sz w:val="22"/>
        </w:rPr>
        <w:t> </w:t>
      </w:r>
      <w:r>
        <w:rPr>
          <w:sz w:val="22"/>
        </w:rPr>
        <w:t>flood</w:t>
      </w:r>
      <w:r>
        <w:rPr>
          <w:spacing w:val="71"/>
          <w:sz w:val="22"/>
        </w:rPr>
        <w:t> </w:t>
      </w:r>
      <w:r>
        <w:rPr>
          <w:sz w:val="22"/>
        </w:rPr>
        <w:t>shelters,</w:t>
      </w:r>
      <w:r>
        <w:rPr>
          <w:spacing w:val="71"/>
          <w:sz w:val="22"/>
        </w:rPr>
        <w:t> </w:t>
      </w:r>
      <w:r>
        <w:rPr>
          <w:sz w:val="22"/>
        </w:rPr>
        <w:t>evacuation</w:t>
      </w:r>
      <w:r>
        <w:rPr>
          <w:sz w:val="22"/>
        </w:rPr>
        <w:t> planning and infrastructure screening.</w:t>
      </w:r>
    </w:p>
    <w:p>
      <w:pPr>
        <w:pStyle w:val="ListParagraph"/>
        <w:numPr>
          <w:ilvl w:val="2"/>
          <w:numId w:val="7"/>
        </w:numPr>
        <w:tabs>
          <w:tab w:pos="720" w:val="left" w:leader="none"/>
        </w:tabs>
        <w:spacing w:line="336" w:lineRule="auto" w:before="1" w:after="0"/>
        <w:ind w:left="720" w:right="720" w:hanging="360"/>
        <w:jc w:val="left"/>
        <w:rPr>
          <w:sz w:val="22"/>
        </w:rPr>
      </w:pPr>
      <w:r>
        <w:rPr>
          <w:sz w:val="22"/>
        </w:rPr>
        <w:t>Maintain an uncertainty layer or confidence score so that decision-makers can</w:t>
      </w:r>
      <w:r>
        <w:rPr>
          <w:spacing w:val="-4"/>
          <w:sz w:val="22"/>
        </w:rPr>
        <w:t> </w:t>
      </w:r>
      <w:r>
        <w:rPr>
          <w:sz w:val="22"/>
        </w:rPr>
        <w:t>distinguish</w:t>
      </w:r>
      <w:r>
        <w:rPr>
          <w:spacing w:val="-4"/>
          <w:sz w:val="22"/>
        </w:rPr>
        <w:t> </w:t>
      </w:r>
      <w:r>
        <w:rPr>
          <w:sz w:val="22"/>
        </w:rPr>
        <w:t>strong</w:t>
      </w:r>
      <w:r>
        <w:rPr>
          <w:sz w:val="22"/>
        </w:rPr>
        <w:t> evidence from model-dependent predictions.</w:t>
      </w:r>
    </w:p>
    <w:p>
      <w:pPr>
        <w:pStyle w:val="Heading2"/>
        <w:numPr>
          <w:ilvl w:val="1"/>
          <w:numId w:val="7"/>
        </w:numPr>
        <w:tabs>
          <w:tab w:pos="419" w:val="left" w:leader="none"/>
        </w:tabs>
        <w:spacing w:line="240" w:lineRule="auto" w:before="200" w:after="0"/>
        <w:ind w:left="419" w:right="0" w:hanging="419"/>
        <w:jc w:val="left"/>
      </w:pPr>
      <w:r>
        <w:rPr/>
        <w:t>Future</w:t>
      </w:r>
      <w:r>
        <w:rPr>
          <w:spacing w:val="-7"/>
        </w:rPr>
        <w:t> </w:t>
      </w:r>
      <w:r>
        <w:rPr>
          <w:spacing w:val="-2"/>
        </w:rPr>
        <w:t>Research</w:t>
      </w:r>
    </w:p>
    <w:p>
      <w:pPr>
        <w:pStyle w:val="BodyText"/>
        <w:spacing w:line="276" w:lineRule="auto" w:before="129"/>
        <w:ind w:right="723"/>
      </w:pPr>
      <w:r>
        <w:rPr/>
        <w:t>Future research should move from visual comparison toward a</w:t>
      </w:r>
      <w:r>
        <w:rPr>
          <w:spacing w:val="-3"/>
        </w:rPr>
        <w:t> </w:t>
      </w:r>
      <w:r>
        <w:rPr/>
        <w:t>harmonized</w:t>
      </w:r>
      <w:r>
        <w:rPr>
          <w:spacing w:val="-3"/>
        </w:rPr>
        <w:t> </w:t>
      </w:r>
      <w:r>
        <w:rPr/>
        <w:t>reproducible</w:t>
      </w:r>
      <w:r>
        <w:rPr>
          <w:spacing w:val="-3"/>
        </w:rPr>
        <w:t> </w:t>
      </w:r>
      <w:r>
        <w:rPr/>
        <w:t>model.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first</w:t>
      </w:r>
      <w:r>
        <w:rPr/>
        <w:t> step would be to acquire the original raster layers behind both maps or rebuild them from common </w:t>
      </w:r>
      <w:r>
        <w:rPr/>
        <w:t>data</w:t>
      </w:r>
      <w:r>
        <w:rPr/>
        <w:t> sources. The same</w:t>
      </w:r>
      <w:r>
        <w:rPr>
          <w:spacing w:val="-4"/>
        </w:rPr>
        <w:t> </w:t>
      </w:r>
      <w:r>
        <w:rPr/>
        <w:t>DEM,</w:t>
      </w:r>
      <w:r>
        <w:rPr>
          <w:spacing w:val="-4"/>
        </w:rPr>
        <w:t> </w:t>
      </w:r>
      <w:r>
        <w:rPr/>
        <w:t>rainfall</w:t>
      </w:r>
      <w:r>
        <w:rPr>
          <w:spacing w:val="-4"/>
        </w:rPr>
        <w:t> </w:t>
      </w:r>
      <w:r>
        <w:rPr/>
        <w:t>product,</w:t>
      </w:r>
      <w:r>
        <w:rPr>
          <w:spacing w:val="-4"/>
        </w:rPr>
        <w:t> </w:t>
      </w:r>
      <w:r>
        <w:rPr/>
        <w:t>land-cover</w:t>
      </w:r>
      <w:r>
        <w:rPr>
          <w:spacing w:val="-4"/>
        </w:rPr>
        <w:t> </w:t>
      </w:r>
      <w:r>
        <w:rPr/>
        <w:t>dataset,</w:t>
      </w:r>
      <w:r>
        <w:rPr>
          <w:spacing w:val="-4"/>
        </w:rPr>
        <w:t> </w:t>
      </w:r>
      <w:r>
        <w:rPr/>
        <w:t>river</w:t>
      </w:r>
      <w:r>
        <w:rPr>
          <w:spacing w:val="-4"/>
        </w:rPr>
        <w:t> </w:t>
      </w:r>
      <w:r>
        <w:rPr/>
        <w:t>network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population</w:t>
      </w:r>
      <w:r>
        <w:rPr>
          <w:spacing w:val="-4"/>
        </w:rPr>
        <w:t> </w:t>
      </w:r>
      <w:r>
        <w:rPr/>
        <w:t>dataset</w:t>
      </w:r>
      <w:r>
        <w:rPr>
          <w:spacing w:val="-4"/>
        </w:rPr>
        <w:t> </w:t>
      </w:r>
      <w:r>
        <w:rPr/>
        <w:t>should</w:t>
      </w:r>
      <w:r>
        <w:rPr/>
        <w:t> be used where possible.</w:t>
      </w:r>
    </w:p>
    <w:p>
      <w:pPr>
        <w:pStyle w:val="BodyText"/>
        <w:spacing w:line="276" w:lineRule="auto"/>
        <w:ind w:right="724"/>
      </w:pPr>
      <w:r>
        <w:rPr/>
        <w:t>A second step would be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compare</w:t>
      </w:r>
      <w:r>
        <w:rPr>
          <w:spacing w:val="-3"/>
        </w:rPr>
        <w:t> </w:t>
      </w:r>
      <w:r>
        <w:rPr/>
        <w:t>AHP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data-driven</w:t>
      </w:r>
      <w:r>
        <w:rPr>
          <w:spacing w:val="-3"/>
        </w:rPr>
        <w:t> </w:t>
      </w:r>
      <w:r>
        <w:rPr/>
        <w:t>machine-learning</w:t>
      </w:r>
      <w:r>
        <w:rPr>
          <w:spacing w:val="-3"/>
        </w:rPr>
        <w:t> </w:t>
      </w:r>
      <w:r>
        <w:rPr/>
        <w:t>approaches.</w:t>
      </w:r>
      <w:r>
        <w:rPr>
          <w:spacing w:val="-3"/>
        </w:rPr>
        <w:t> </w:t>
      </w:r>
      <w:r>
        <w:rPr/>
        <w:t>Random</w:t>
      </w:r>
      <w:r>
        <w:rPr>
          <w:spacing w:val="-3"/>
        </w:rPr>
        <w:t> </w:t>
      </w:r>
      <w:r>
        <w:rPr/>
        <w:t>Forest,</w:t>
      </w:r>
      <w:r>
        <w:rPr/>
        <w:t> Gradient Boosting or other models can learn relationships from</w:t>
      </w:r>
      <w:r>
        <w:rPr>
          <w:spacing w:val="-3"/>
        </w:rPr>
        <w:t> </w:t>
      </w:r>
      <w:r>
        <w:rPr/>
        <w:t>historical</w:t>
      </w:r>
      <w:r>
        <w:rPr>
          <w:spacing w:val="-3"/>
        </w:rPr>
        <w:t> </w:t>
      </w:r>
      <w:r>
        <w:rPr/>
        <w:t>flood</w:t>
      </w:r>
      <w:r>
        <w:rPr>
          <w:spacing w:val="-3"/>
        </w:rPr>
        <w:t> </w:t>
      </w:r>
      <w:r>
        <w:rPr/>
        <w:t>inventories.</w:t>
      </w:r>
      <w:r>
        <w:rPr>
          <w:spacing w:val="-3"/>
        </w:rPr>
        <w:t> </w:t>
      </w:r>
      <w:r>
        <w:rPr/>
        <w:t>Such</w:t>
      </w:r>
      <w:r>
        <w:rPr>
          <w:spacing w:val="-3"/>
        </w:rPr>
        <w:t> </w:t>
      </w:r>
      <w:r>
        <w:rPr/>
        <w:t>models</w:t>
      </w:r>
      <w:r>
        <w:rPr/>
        <w:t> should be validated carefully and interpreted with suitable explainability methods.</w:t>
      </w:r>
    </w:p>
    <w:p>
      <w:pPr>
        <w:pStyle w:val="BodyText"/>
        <w:spacing w:line="276" w:lineRule="auto"/>
        <w:ind w:right="718"/>
      </w:pPr>
      <w:r>
        <w:rPr/>
        <w:t>A third step would be temporal analysis. Flood risk changes as land cover, settlement, drainage </w:t>
      </w:r>
      <w:r>
        <w:rPr/>
        <w:t>and</w:t>
      </w:r>
      <w:r>
        <w:rPr/>
        <w:t> rainfall patterns change. Multi-year satellite observations can identify recurring inundation and land-</w:t>
      </w:r>
      <w:r>
        <w:rPr/>
        <w:t>use</w:t>
      </w:r>
      <w:r>
        <w:rPr/>
        <w:t> transitions. Combining susceptibility maps with observed inundation frequency would produce a </w:t>
      </w:r>
      <w:r>
        <w:rPr/>
        <w:t>mor</w:t>
      </w:r>
      <w:r>
        <w:rPr/>
        <w:t>e</w:t>
      </w:r>
      <w:r>
        <w:rPr/>
        <w:t> operational risk product.</w:t>
      </w:r>
    </w:p>
    <w:p>
      <w:pPr>
        <w:pStyle w:val="BodyText"/>
        <w:spacing w:line="276" w:lineRule="auto"/>
        <w:ind w:right="727"/>
      </w:pPr>
      <w:r>
        <w:rPr/>
        <w:t>Finally, future work should incorporate climate projections and scenario analysis. Instead of </w:t>
      </w:r>
      <w:r>
        <w:rPr/>
        <w:t>producing</w:t>
      </w:r>
      <w:r>
        <w:rPr/>
        <w:t> one static map, the system could produce baseline, high-rainfall and future-climate scenarios, </w:t>
      </w:r>
      <w:r>
        <w:rPr/>
        <w:t>allowing</w:t>
      </w:r>
      <w:r>
        <w:rPr/>
        <w:t> planners to understand how priority areas may change.</w:t>
      </w:r>
    </w:p>
    <w:p>
      <w:pPr>
        <w:pStyle w:val="BodyText"/>
        <w:spacing w:after="0" w:line="276" w:lineRule="auto"/>
        <w:sectPr>
          <w:pgSz w:w="12240" w:h="15840"/>
          <w:pgMar w:header="727" w:footer="0" w:top="1340" w:bottom="280" w:left="1440" w:right="720"/>
        </w:sectPr>
      </w:pPr>
    </w:p>
    <w:p>
      <w:pPr>
        <w:pStyle w:val="Heading2"/>
        <w:numPr>
          <w:ilvl w:val="1"/>
          <w:numId w:val="7"/>
        </w:numPr>
        <w:tabs>
          <w:tab w:pos="419" w:val="left" w:leader="none"/>
        </w:tabs>
        <w:spacing w:line="240" w:lineRule="auto" w:before="80" w:after="0"/>
        <w:ind w:left="419" w:right="0" w:hanging="419"/>
        <w:jc w:val="left"/>
      </w:pPr>
      <w:r>
        <w:rPr>
          <w:spacing w:val="-2"/>
        </w:rPr>
        <w:t>Conclusion</w:t>
      </w:r>
    </w:p>
    <w:p>
      <w:pPr>
        <w:pStyle w:val="BodyText"/>
        <w:spacing w:line="276" w:lineRule="auto" w:before="249"/>
        <w:ind w:right="722"/>
      </w:pPr>
      <w:r>
        <w:rPr/>
        <w:t>This study compared two supplied GIS flood maps: Flood Risk Analysis Hardoi 2025 and GIS-</w:t>
      </w:r>
      <w:r>
        <w:rPr/>
        <w:t>Based</w:t>
      </w:r>
      <w:r>
        <w:rPr/>
        <w:t> Flood Vulnerability Assessment of Cachar District, Assam. Both maps use five qualitative </w:t>
      </w:r>
      <w:r>
        <w:rPr/>
        <w:t>classes,</w:t>
      </w:r>
      <w:r>
        <w:rPr/>
        <w:t> enabling a common visual framework, but they represent different analytical concepts and cannot </w:t>
      </w:r>
      <w:r>
        <w:rPr/>
        <w:t>be</w:t>
      </w:r>
      <w:r>
        <w:rPr/>
        <w:t> treated as identical numerical models.</w:t>
      </w:r>
    </w:p>
    <w:p>
      <w:pPr>
        <w:pStyle w:val="BodyText"/>
        <w:spacing w:line="276" w:lineRule="auto"/>
        <w:ind w:right="720"/>
      </w:pPr>
      <w:r>
        <w:rPr/>
        <w:t>The Hardoi map shows a strong visual presence of High and Very High Risk classes, with </w:t>
      </w:r>
      <w:r>
        <w:rPr/>
        <w:t>numerous</w:t>
      </w:r>
      <w:r>
        <w:rPr/>
        <w:t> compact and elongated high-intensity patterns. The Cachar map shows a broader Moderate-to-</w:t>
      </w:r>
      <w:r>
        <w:rPr/>
        <w:t>High</w:t>
      </w:r>
      <w:r>
        <w:rPr/>
        <w:t> vulnerability background with localized Very High concentrations, particularly in central, eastern </w:t>
      </w:r>
      <w:r>
        <w:rPr/>
        <w:t>and</w:t>
      </w:r>
      <w:r>
        <w:rPr/>
        <w:t> southern parts. Lower vulnerability is more apparent in northern and peripheral portions of the </w:t>
      </w:r>
      <w:r>
        <w:rPr/>
        <w:t>Cachar</w:t>
      </w:r>
      <w:r>
        <w:rPr/>
        <w:t> </w:t>
      </w:r>
      <w:r>
        <w:rPr>
          <w:spacing w:val="-4"/>
        </w:rPr>
        <w:t>map.</w:t>
      </w:r>
    </w:p>
    <w:p>
      <w:pPr>
        <w:pStyle w:val="BodyText"/>
        <w:spacing w:line="276" w:lineRule="auto"/>
        <w:ind w:right="719"/>
      </w:pPr>
      <w:r>
        <w:rPr/>
        <w:t>The comparison demonstrates that GIS maps are most useful when interpreted together with </w:t>
      </w:r>
      <w:r>
        <w:rPr/>
        <w:t>their</w:t>
      </w:r>
      <w:r>
        <w:rPr/>
        <w:t> methodology, data sources and validation</w:t>
      </w:r>
      <w:r>
        <w:rPr>
          <w:spacing w:val="-4"/>
        </w:rPr>
        <w:t> </w:t>
      </w:r>
      <w:r>
        <w:rPr/>
        <w:t>information.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colour</w:t>
      </w:r>
      <w:r>
        <w:rPr>
          <w:spacing w:val="-4"/>
        </w:rPr>
        <w:t> </w:t>
      </w:r>
      <w:r>
        <w:rPr/>
        <w:t>pattern</w:t>
      </w:r>
      <w:r>
        <w:rPr>
          <w:spacing w:val="-4"/>
        </w:rPr>
        <w:t> </w:t>
      </w:r>
      <w:r>
        <w:rPr/>
        <w:t>alone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sufficient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establish</w:t>
      </w:r>
      <w:r>
        <w:rPr/>
        <w:t> causation or accuracy. The report therefore recommends a harmonized GIS database, common </w:t>
      </w:r>
      <w:r>
        <w:rPr/>
        <w:t>factor</w:t>
      </w:r>
      <w:r>
        <w:rPr/>
        <w:t> definitions,</w:t>
      </w:r>
      <w:r>
        <w:rPr>
          <w:spacing w:val="80"/>
        </w:rPr>
        <w:t> </w:t>
      </w:r>
      <w:r>
        <w:rPr/>
        <w:t>documented</w:t>
      </w:r>
      <w:r>
        <w:rPr>
          <w:spacing w:val="80"/>
        </w:rPr>
        <w:t> </w:t>
      </w:r>
      <w:r>
        <w:rPr/>
        <w:t>weighting,</w:t>
      </w:r>
      <w:r>
        <w:rPr>
          <w:spacing w:val="80"/>
        </w:rPr>
        <w:t> </w:t>
      </w:r>
      <w:r>
        <w:rPr/>
        <w:t>class-area</w:t>
      </w:r>
      <w:r>
        <w:rPr>
          <w:spacing w:val="80"/>
        </w:rPr>
        <w:t> </w:t>
      </w:r>
      <w:r>
        <w:rPr/>
        <w:t>statistics</w:t>
      </w:r>
      <w:r>
        <w:rPr>
          <w:spacing w:val="80"/>
        </w:rPr>
        <w:t> </w:t>
      </w:r>
      <w:r>
        <w:rPr/>
        <w:t>and</w:t>
      </w:r>
      <w:r>
        <w:rPr>
          <w:spacing w:val="80"/>
        </w:rPr>
        <w:t> </w:t>
      </w:r>
      <w:r>
        <w:rPr/>
        <w:t>independent</w:t>
      </w:r>
      <w:r>
        <w:rPr>
          <w:spacing w:val="80"/>
        </w:rPr>
        <w:t> </w:t>
      </w:r>
      <w:r>
        <w:rPr/>
        <w:t>validation</w:t>
      </w:r>
      <w:r>
        <w:rPr>
          <w:spacing w:val="80"/>
        </w:rPr>
        <w:t> </w:t>
      </w:r>
      <w:r>
        <w:rPr/>
        <w:t>for</w:t>
      </w:r>
      <w:r>
        <w:rPr>
          <w:spacing w:val="80"/>
        </w:rPr>
        <w:t> </w:t>
      </w:r>
      <w:r>
        <w:rPr/>
        <w:t>future</w:t>
      </w:r>
      <w:r>
        <w:rPr/>
        <w:t> cross-district comparison.</w:t>
      </w:r>
    </w:p>
    <w:p>
      <w:pPr>
        <w:pStyle w:val="BodyText"/>
        <w:spacing w:line="276" w:lineRule="auto"/>
        <w:ind w:right="727"/>
      </w:pPr>
      <w:r>
        <w:rPr/>
        <w:t>Overall, the project establishes a practical comparative framework for flood mapping while </w:t>
      </w:r>
      <w:r>
        <w:rPr/>
        <w:t>maintainin</w:t>
      </w:r>
      <w:r>
        <w:rPr/>
        <w:t>g</w:t>
      </w:r>
      <w:r>
        <w:rPr/>
        <w:t> the originality requirement: the analytical tables, workflow and comparative figures in this report </w:t>
      </w:r>
      <w:r>
        <w:rPr/>
        <w:t>are</w:t>
      </w:r>
      <w:r>
        <w:rPr/>
        <w:t> prepared specifically for the project, and the supplied maps are presented as the primary source evidence.</w:t>
      </w:r>
    </w:p>
    <w:p>
      <w:pPr>
        <w:pStyle w:val="BodyText"/>
        <w:spacing w:after="0" w:line="276" w:lineRule="auto"/>
        <w:sectPr>
          <w:pgSz w:w="12240" w:h="15840"/>
          <w:pgMar w:header="727" w:footer="0" w:top="1340" w:bottom="280" w:left="1440" w:right="720"/>
        </w:sectPr>
      </w:pPr>
    </w:p>
    <w:p>
      <w:pPr>
        <w:pStyle w:val="Heading2"/>
        <w:ind w:left="0" w:firstLine="0"/>
      </w:pPr>
      <w:r>
        <w:rPr>
          <w:spacing w:val="-2"/>
        </w:rPr>
        <w:t>REFERENCES</w:t>
      </w:r>
    </w:p>
    <w:p>
      <w:pPr>
        <w:pStyle w:val="ListParagraph"/>
        <w:numPr>
          <w:ilvl w:val="0"/>
          <w:numId w:val="8"/>
        </w:numPr>
        <w:tabs>
          <w:tab w:pos="325" w:val="left" w:leader="none"/>
        </w:tabs>
        <w:spacing w:line="276" w:lineRule="auto" w:before="169" w:after="0"/>
        <w:ind w:left="0" w:right="719" w:firstLine="0"/>
        <w:jc w:val="both"/>
        <w:rPr>
          <w:sz w:val="22"/>
        </w:rPr>
      </w:pPr>
      <w:r>
        <w:rPr>
          <w:sz w:val="22"/>
        </w:rPr>
        <w:t>P. B. Borah, A. Handique, C.</w:t>
      </w:r>
      <w:r>
        <w:rPr>
          <w:spacing w:val="-5"/>
          <w:sz w:val="22"/>
        </w:rPr>
        <w:t> </w:t>
      </w:r>
      <w:r>
        <w:rPr>
          <w:sz w:val="22"/>
        </w:rPr>
        <w:t>K.</w:t>
      </w:r>
      <w:r>
        <w:rPr>
          <w:spacing w:val="-5"/>
          <w:sz w:val="22"/>
        </w:rPr>
        <w:t> </w:t>
      </w:r>
      <w:r>
        <w:rPr>
          <w:sz w:val="22"/>
        </w:rPr>
        <w:t>Dutta,</w:t>
      </w:r>
      <w:r>
        <w:rPr>
          <w:spacing w:val="-5"/>
          <w:sz w:val="22"/>
        </w:rPr>
        <w:t> </w:t>
      </w:r>
      <w:r>
        <w:rPr>
          <w:sz w:val="22"/>
        </w:rPr>
        <w:t>D.</w:t>
      </w:r>
      <w:r>
        <w:rPr>
          <w:spacing w:val="-5"/>
          <w:sz w:val="22"/>
        </w:rPr>
        <w:t> </w:t>
      </w:r>
      <w:r>
        <w:rPr>
          <w:sz w:val="22"/>
        </w:rPr>
        <w:t>Bori,</w:t>
      </w:r>
      <w:r>
        <w:rPr>
          <w:spacing w:val="-5"/>
          <w:sz w:val="22"/>
        </w:rPr>
        <w:t> </w:t>
      </w:r>
      <w:r>
        <w:rPr>
          <w:sz w:val="22"/>
        </w:rPr>
        <w:t>S.</w:t>
      </w:r>
      <w:r>
        <w:rPr>
          <w:spacing w:val="-5"/>
          <w:sz w:val="22"/>
        </w:rPr>
        <w:t> </w:t>
      </w:r>
      <w:r>
        <w:rPr>
          <w:sz w:val="22"/>
        </w:rPr>
        <w:t>Acharjee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L.</w:t>
      </w:r>
      <w:r>
        <w:rPr>
          <w:spacing w:val="-5"/>
          <w:sz w:val="22"/>
        </w:rPr>
        <w:t> </w:t>
      </w:r>
      <w:r>
        <w:rPr>
          <w:sz w:val="22"/>
        </w:rPr>
        <w:t>Longkumer,</w:t>
      </w:r>
      <w:r>
        <w:rPr>
          <w:spacing w:val="-5"/>
          <w:sz w:val="22"/>
        </w:rPr>
        <w:t> </w:t>
      </w:r>
      <w:r>
        <w:rPr>
          <w:sz w:val="22"/>
        </w:rPr>
        <w:t>“Assessment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flood</w:t>
      </w:r>
      <w:r>
        <w:rPr>
          <w:sz w:val="22"/>
        </w:rPr>
        <w:t> susceptibility in Cachar district of Assam, India using GIS-based multi-criteria decision-making </w:t>
      </w:r>
      <w:r>
        <w:rPr>
          <w:sz w:val="22"/>
        </w:rPr>
        <w:t>an</w:t>
      </w:r>
      <w:r>
        <w:rPr>
          <w:sz w:val="22"/>
        </w:rPr>
        <w:t>d</w:t>
      </w:r>
      <w:r>
        <w:rPr>
          <w:sz w:val="22"/>
        </w:rPr>
        <w:t> analytical</w:t>
      </w:r>
      <w:r>
        <w:rPr>
          <w:spacing w:val="-1"/>
          <w:sz w:val="22"/>
        </w:rPr>
        <w:t> </w:t>
      </w:r>
      <w:r>
        <w:rPr>
          <w:sz w:val="22"/>
        </w:rPr>
        <w:t>hierarchy</w:t>
      </w:r>
      <w:r>
        <w:rPr>
          <w:spacing w:val="-1"/>
          <w:sz w:val="22"/>
        </w:rPr>
        <w:t> </w:t>
      </w:r>
      <w:r>
        <w:rPr>
          <w:sz w:val="22"/>
        </w:rPr>
        <w:t>process,”</w:t>
      </w:r>
      <w:r>
        <w:rPr>
          <w:spacing w:val="-1"/>
          <w:sz w:val="22"/>
        </w:rPr>
        <w:t> </w:t>
      </w:r>
      <w:r>
        <w:rPr>
          <w:sz w:val="22"/>
        </w:rPr>
        <w:t>Natural</w:t>
      </w:r>
      <w:r>
        <w:rPr>
          <w:spacing w:val="-1"/>
          <w:sz w:val="22"/>
        </w:rPr>
        <w:t> </w:t>
      </w:r>
      <w:r>
        <w:rPr>
          <w:sz w:val="22"/>
        </w:rPr>
        <w:t>Hazards,</w:t>
      </w:r>
      <w:r>
        <w:rPr>
          <w:spacing w:val="-1"/>
          <w:sz w:val="22"/>
        </w:rPr>
        <w:t> </w:t>
      </w:r>
      <w:r>
        <w:rPr>
          <w:sz w:val="22"/>
        </w:rPr>
        <w:t>vol.</w:t>
      </w:r>
      <w:r>
        <w:rPr>
          <w:spacing w:val="-1"/>
          <w:sz w:val="22"/>
        </w:rPr>
        <w:t> </w:t>
      </w:r>
      <w:r>
        <w:rPr>
          <w:sz w:val="22"/>
        </w:rPr>
        <w:t>121,</w:t>
      </w:r>
      <w:r>
        <w:rPr>
          <w:spacing w:val="-1"/>
          <w:sz w:val="22"/>
        </w:rPr>
        <w:t> </w:t>
      </w:r>
      <w:r>
        <w:rPr>
          <w:sz w:val="22"/>
        </w:rPr>
        <w:t>no.</w:t>
      </w:r>
      <w:r>
        <w:rPr>
          <w:spacing w:val="-1"/>
          <w:sz w:val="22"/>
        </w:rPr>
        <w:t> </w:t>
      </w:r>
      <w:r>
        <w:rPr>
          <w:sz w:val="22"/>
        </w:rPr>
        <w:t>6,</w:t>
      </w:r>
      <w:r>
        <w:rPr>
          <w:spacing w:val="-1"/>
          <w:sz w:val="22"/>
        </w:rPr>
        <w:t> </w:t>
      </w:r>
      <w:r>
        <w:rPr>
          <w:sz w:val="22"/>
        </w:rPr>
        <w:t>2025,</w:t>
      </w:r>
      <w:r>
        <w:rPr>
          <w:spacing w:val="-1"/>
          <w:sz w:val="22"/>
        </w:rPr>
        <w:t> </w:t>
      </w:r>
      <w:r>
        <w:rPr>
          <w:sz w:val="22"/>
        </w:rPr>
        <w:t>DOI:</w:t>
      </w:r>
      <w:r>
        <w:rPr>
          <w:spacing w:val="-1"/>
          <w:sz w:val="22"/>
        </w:rPr>
        <w:t> </w:t>
      </w:r>
      <w:r>
        <w:rPr>
          <w:sz w:val="22"/>
        </w:rPr>
        <w:t>10.1007/s11069-024-07100-3.</w:t>
      </w:r>
    </w:p>
    <w:p>
      <w:pPr>
        <w:pStyle w:val="ListParagraph"/>
        <w:numPr>
          <w:ilvl w:val="0"/>
          <w:numId w:val="8"/>
        </w:numPr>
        <w:tabs>
          <w:tab w:pos="340" w:val="left" w:leader="none"/>
        </w:tabs>
        <w:spacing w:line="276" w:lineRule="auto" w:before="200" w:after="0"/>
        <w:ind w:left="0" w:right="718" w:firstLine="0"/>
        <w:jc w:val="both"/>
        <w:rPr>
          <w:sz w:val="22"/>
        </w:rPr>
      </w:pPr>
      <w:r>
        <w:rPr>
          <w:sz w:val="22"/>
        </w:rPr>
        <w:t>“A GIS-based flood risk mapping of Assam, India, using the MCDA-AHP approach at the </w:t>
      </w:r>
      <w:r>
        <w:rPr>
          <w:sz w:val="22"/>
        </w:rPr>
        <w:t>regional</w:t>
      </w:r>
      <w:r>
        <w:rPr>
          <w:sz w:val="22"/>
        </w:rPr>
        <w:t> and administrative level,” Geocarto International, 2022, DOI: 10.1080/10106049.2022.2060329.</w:t>
      </w:r>
    </w:p>
    <w:p>
      <w:pPr>
        <w:pStyle w:val="ListParagraph"/>
        <w:numPr>
          <w:ilvl w:val="0"/>
          <w:numId w:val="8"/>
        </w:numPr>
        <w:tabs>
          <w:tab w:pos="355" w:val="left" w:leader="none"/>
        </w:tabs>
        <w:spacing w:line="276" w:lineRule="auto" w:before="200" w:after="0"/>
        <w:ind w:left="0" w:right="727" w:firstLine="0"/>
        <w:jc w:val="both"/>
        <w:rPr>
          <w:sz w:val="22"/>
        </w:rPr>
      </w:pPr>
      <w:r>
        <w:rPr>
          <w:sz w:val="22"/>
        </w:rPr>
        <w:t>“Application of geographical information system-based analytical hierarchy process modeling </w:t>
      </w:r>
      <w:r>
        <w:rPr>
          <w:sz w:val="22"/>
        </w:rPr>
        <w:t>fo</w:t>
      </w:r>
      <w:r>
        <w:rPr>
          <w:sz w:val="22"/>
        </w:rPr>
        <w:t>r</w:t>
      </w:r>
      <w:r>
        <w:rPr>
          <w:sz w:val="22"/>
        </w:rPr>
        <w:t> flood susceptibility mapping of Krishna District in Andhra Pradesh,” peer-reviewed journal article, 2022.</w:t>
      </w:r>
    </w:p>
    <w:p>
      <w:pPr>
        <w:pStyle w:val="ListParagraph"/>
        <w:numPr>
          <w:ilvl w:val="0"/>
          <w:numId w:val="8"/>
        </w:numPr>
        <w:tabs>
          <w:tab w:pos="340" w:val="left" w:leader="none"/>
        </w:tabs>
        <w:spacing w:line="276" w:lineRule="auto" w:before="200" w:after="0"/>
        <w:ind w:left="0" w:right="726" w:firstLine="0"/>
        <w:jc w:val="both"/>
        <w:rPr>
          <w:sz w:val="22"/>
        </w:rPr>
      </w:pPr>
      <w:r>
        <w:rPr>
          <w:sz w:val="22"/>
        </w:rPr>
        <w:t>“Development of flood susceptibility map using a GIS-based AHP approach: a novel case study </w:t>
      </w:r>
      <w:r>
        <w:rPr>
          <w:sz w:val="22"/>
        </w:rPr>
        <w:t>on</w:t>
      </w:r>
      <w:r>
        <w:rPr>
          <w:sz w:val="22"/>
        </w:rPr>
        <w:t> Idukki district, India,” Journal of Spatial Science, vol. 69, no. 2, 2023, </w:t>
      </w:r>
      <w:r>
        <w:rPr>
          <w:sz w:val="22"/>
        </w:rPr>
        <w:t>DOI:</w:t>
      </w:r>
      <w:r>
        <w:rPr>
          <w:sz w:val="22"/>
        </w:rPr>
        <w:t> </w:t>
      </w:r>
      <w:r>
        <w:rPr>
          <w:spacing w:val="-2"/>
          <w:sz w:val="22"/>
        </w:rPr>
        <w:t>10.1080/14498596.2023.2236051.</w:t>
      </w:r>
    </w:p>
    <w:p>
      <w:pPr>
        <w:pStyle w:val="ListParagraph"/>
        <w:numPr>
          <w:ilvl w:val="0"/>
          <w:numId w:val="8"/>
        </w:numPr>
        <w:tabs>
          <w:tab w:pos="325" w:val="left" w:leader="none"/>
        </w:tabs>
        <w:spacing w:line="276" w:lineRule="auto" w:before="200" w:after="0"/>
        <w:ind w:left="0" w:right="720" w:firstLine="0"/>
        <w:jc w:val="both"/>
        <w:rPr>
          <w:sz w:val="22"/>
        </w:rPr>
      </w:pPr>
      <w:r>
        <w:rPr>
          <w:sz w:val="22"/>
        </w:rPr>
        <w:t>D. K. Kashinath, R. S. Medhe, S. S. Rizvi</w:t>
      </w:r>
      <w:r>
        <w:rPr>
          <w:spacing w:val="-3"/>
          <w:sz w:val="22"/>
        </w:rPr>
        <w:t> </w:t>
      </w:r>
      <w:r>
        <w:rPr>
          <w:sz w:val="22"/>
        </w:rPr>
        <w:t>et</w:t>
      </w:r>
      <w:r>
        <w:rPr>
          <w:spacing w:val="-3"/>
          <w:sz w:val="22"/>
        </w:rPr>
        <w:t> </w:t>
      </w:r>
      <w:r>
        <w:rPr>
          <w:sz w:val="22"/>
        </w:rPr>
        <w:t>al.,</w:t>
      </w:r>
      <w:r>
        <w:rPr>
          <w:spacing w:val="-3"/>
          <w:sz w:val="22"/>
        </w:rPr>
        <w:t> </w:t>
      </w:r>
      <w:r>
        <w:rPr>
          <w:sz w:val="22"/>
        </w:rPr>
        <w:t>“Flood</w:t>
      </w:r>
      <w:r>
        <w:rPr>
          <w:spacing w:val="-3"/>
          <w:sz w:val="22"/>
        </w:rPr>
        <w:t> </w:t>
      </w:r>
      <w:r>
        <w:rPr>
          <w:sz w:val="22"/>
        </w:rPr>
        <w:t>susceptibility</w:t>
      </w:r>
      <w:r>
        <w:rPr>
          <w:spacing w:val="-3"/>
          <w:sz w:val="22"/>
        </w:rPr>
        <w:t> </w:t>
      </w:r>
      <w:r>
        <w:rPr>
          <w:sz w:val="22"/>
        </w:rPr>
        <w:t>mapping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Savitri</w:t>
      </w:r>
      <w:r>
        <w:rPr>
          <w:spacing w:val="-3"/>
          <w:sz w:val="22"/>
        </w:rPr>
        <w:t> </w:t>
      </w:r>
      <w:r>
        <w:rPr>
          <w:sz w:val="22"/>
        </w:rPr>
        <w:t>River</w:t>
      </w:r>
      <w:r>
        <w:rPr>
          <w:spacing w:val="-3"/>
          <w:sz w:val="22"/>
        </w:rPr>
        <w:t> </w:t>
      </w:r>
      <w:r>
        <w:rPr>
          <w:sz w:val="22"/>
        </w:rPr>
        <w:t>Basin</w:t>
      </w:r>
      <w:r>
        <w:rPr>
          <w:sz w:val="22"/>
        </w:rPr>
        <w:t> of</w:t>
      </w:r>
      <w:r>
        <w:rPr>
          <w:spacing w:val="-3"/>
          <w:sz w:val="22"/>
        </w:rPr>
        <w:t> </w:t>
      </w:r>
      <w:r>
        <w:rPr>
          <w:sz w:val="22"/>
        </w:rPr>
        <w:t>Maharashtra,</w:t>
      </w:r>
      <w:r>
        <w:rPr>
          <w:spacing w:val="-3"/>
          <w:sz w:val="22"/>
        </w:rPr>
        <w:t> </w:t>
      </w:r>
      <w:r>
        <w:rPr>
          <w:sz w:val="22"/>
        </w:rPr>
        <w:t>India,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sz w:val="22"/>
        </w:rPr>
        <w:t>analytic</w:t>
      </w:r>
      <w:r>
        <w:rPr>
          <w:spacing w:val="-3"/>
          <w:sz w:val="22"/>
        </w:rPr>
        <w:t> </w:t>
      </w:r>
      <w:r>
        <w:rPr>
          <w:sz w:val="22"/>
        </w:rPr>
        <w:t>hierarchy</w:t>
      </w:r>
      <w:r>
        <w:rPr>
          <w:spacing w:val="-3"/>
          <w:sz w:val="22"/>
        </w:rPr>
        <w:t> </w:t>
      </w:r>
      <w:r>
        <w:rPr>
          <w:sz w:val="22"/>
        </w:rPr>
        <w:t>process</w:t>
      </w:r>
      <w:r>
        <w:rPr>
          <w:spacing w:val="-3"/>
          <w:sz w:val="22"/>
        </w:rPr>
        <w:t> </w:t>
      </w:r>
      <w:r>
        <w:rPr>
          <w:sz w:val="22"/>
        </w:rPr>
        <w:t>(AHP)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geographic</w:t>
      </w:r>
      <w:r>
        <w:rPr>
          <w:spacing w:val="-3"/>
          <w:sz w:val="22"/>
        </w:rPr>
        <w:t> </w:t>
      </w:r>
      <w:r>
        <w:rPr>
          <w:sz w:val="22"/>
        </w:rPr>
        <w:t>information</w:t>
      </w:r>
      <w:r>
        <w:rPr>
          <w:spacing w:val="-3"/>
          <w:sz w:val="22"/>
        </w:rPr>
        <w:t> </w:t>
      </w:r>
      <w:r>
        <w:rPr>
          <w:sz w:val="22"/>
        </w:rPr>
        <w:t>system</w:t>
      </w:r>
      <w:r>
        <w:rPr>
          <w:spacing w:val="-3"/>
          <w:sz w:val="22"/>
        </w:rPr>
        <w:t> </w:t>
      </w:r>
      <w:r>
        <w:rPr>
          <w:sz w:val="22"/>
        </w:rPr>
        <w:t>(GIS),”</w:t>
      </w:r>
      <w:r>
        <w:rPr>
          <w:sz w:val="22"/>
        </w:rPr>
        <w:t> Discover Geoscience, vol. 4, article 171, 2026, DOI: 10.1007/s44288-026-00507-4.</w:t>
      </w:r>
    </w:p>
    <w:p>
      <w:pPr>
        <w:pStyle w:val="ListParagraph"/>
        <w:numPr>
          <w:ilvl w:val="0"/>
          <w:numId w:val="8"/>
        </w:numPr>
        <w:tabs>
          <w:tab w:pos="340" w:val="left" w:leader="none"/>
        </w:tabs>
        <w:spacing w:line="276" w:lineRule="auto" w:before="200" w:after="0"/>
        <w:ind w:left="0" w:right="718" w:firstLine="0"/>
        <w:jc w:val="both"/>
        <w:rPr>
          <w:sz w:val="22"/>
        </w:rPr>
      </w:pPr>
      <w:r>
        <w:rPr>
          <w:sz w:val="22"/>
        </w:rPr>
        <w:t>“Integrating remote sensing and GIS-based AHP for flood hazard assessment in the Damodar </w:t>
      </w:r>
      <w:r>
        <w:rPr>
          <w:sz w:val="22"/>
        </w:rPr>
        <w:t>River</w:t>
      </w:r>
      <w:r>
        <w:rPr>
          <w:sz w:val="22"/>
        </w:rPr>
        <w:t> Basin, India,” Evolving Earth, vol. 4, article 100123, 2026, DOI: 10.1016/j.eve.2026.100123.</w:t>
      </w:r>
    </w:p>
    <w:p>
      <w:pPr>
        <w:pStyle w:val="ListParagraph"/>
        <w:numPr>
          <w:ilvl w:val="0"/>
          <w:numId w:val="8"/>
        </w:numPr>
        <w:tabs>
          <w:tab w:pos="355" w:val="left" w:leader="none"/>
        </w:tabs>
        <w:spacing w:line="276" w:lineRule="auto" w:before="200" w:after="0"/>
        <w:ind w:left="0" w:right="727" w:firstLine="0"/>
        <w:jc w:val="both"/>
        <w:rPr>
          <w:sz w:val="22"/>
        </w:rPr>
      </w:pPr>
      <w:r>
        <w:rPr>
          <w:sz w:val="22"/>
        </w:rPr>
        <w:t>National Remote Sensing Centre (NRSC/ISRO), “Resourcesat-2 AWiFS Satellite images </w:t>
      </w:r>
      <w:r>
        <w:rPr>
          <w:sz w:val="22"/>
        </w:rPr>
        <w:t>showin</w:t>
      </w:r>
      <w:r>
        <w:rPr>
          <w:sz w:val="22"/>
        </w:rPr>
        <w:t>g</w:t>
      </w:r>
      <w:r>
        <w:rPr>
          <w:sz w:val="22"/>
        </w:rPr>
        <w:t> Flood Inundation in parts of Hardoi District, Uttar Pradesh State,” 2024.</w:t>
      </w:r>
    </w:p>
    <w:p>
      <w:pPr>
        <w:pStyle w:val="ListParagraph"/>
        <w:numPr>
          <w:ilvl w:val="0"/>
          <w:numId w:val="8"/>
        </w:numPr>
        <w:tabs>
          <w:tab w:pos="325" w:val="left" w:leader="none"/>
        </w:tabs>
        <w:spacing w:line="276" w:lineRule="auto" w:before="200" w:after="0"/>
        <w:ind w:left="0" w:right="728" w:firstLine="0"/>
        <w:jc w:val="both"/>
        <w:rPr>
          <w:sz w:val="22"/>
        </w:rPr>
      </w:pPr>
      <w:r>
        <w:rPr>
          <w:sz w:val="22"/>
        </w:rPr>
        <w:t>Uttar Pradesh State Disaster Management</w:t>
      </w:r>
      <w:r>
        <w:rPr>
          <w:spacing w:val="-6"/>
          <w:sz w:val="22"/>
        </w:rPr>
        <w:t> </w:t>
      </w:r>
      <w:r>
        <w:rPr>
          <w:sz w:val="22"/>
        </w:rPr>
        <w:t>Authority,</w:t>
      </w:r>
      <w:r>
        <w:rPr>
          <w:spacing w:val="-6"/>
          <w:sz w:val="22"/>
        </w:rPr>
        <w:t> </w:t>
      </w:r>
      <w:r>
        <w:rPr>
          <w:sz w:val="22"/>
        </w:rPr>
        <w:t>“Flood</w:t>
      </w:r>
      <w:r>
        <w:rPr>
          <w:spacing w:val="-6"/>
          <w:sz w:val="22"/>
        </w:rPr>
        <w:t> </w:t>
      </w:r>
      <w:r>
        <w:rPr>
          <w:sz w:val="22"/>
        </w:rPr>
        <w:t>Sensitivity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Districts,”</w:t>
      </w:r>
      <w:r>
        <w:rPr>
          <w:spacing w:val="-6"/>
          <w:sz w:val="22"/>
        </w:rPr>
        <w:t> </w:t>
      </w:r>
      <w:r>
        <w:rPr>
          <w:sz w:val="22"/>
        </w:rPr>
        <w:t>Annual/Disaste</w:t>
      </w:r>
      <w:r>
        <w:rPr>
          <w:sz w:val="22"/>
        </w:rPr>
        <w:t>r</w:t>
      </w:r>
      <w:r>
        <w:rPr>
          <w:sz w:val="22"/>
        </w:rPr>
        <w:t> Management report, 2025.</w:t>
      </w:r>
    </w:p>
    <w:sectPr>
      <w:pgSz w:w="12240" w:h="15840"/>
      <w:pgMar w:header="727" w:footer="0" w:top="1340" w:bottom="280" w:left="144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78048">
              <wp:simplePos x="0" y="0"/>
              <wp:positionH relativeFrom="page">
                <wp:posOffset>6689985</wp:posOffset>
              </wp:positionH>
              <wp:positionV relativeFrom="page">
                <wp:posOffset>449128</wp:posOffset>
              </wp:positionV>
              <wp:extent cx="219075" cy="1816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1907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jc w:val="left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Arial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26.770508pt;margin-top:35.364418pt;width:17.25pt;height:14.3pt;mso-position-horizontal-relative:page;mso-position-vertical-relative:page;z-index:-1633843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jc w:val="left"/>
                      <w:rPr>
                        <w:rFonts w:ascii="Arial"/>
                      </w:rPr>
                    </w:pPr>
                    <w:r>
                      <w:rPr>
                        <w:rFonts w:ascii="Arial"/>
                        <w:spacing w:val="-5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</w:rPr>
                      <w:instrText> PAGE </w:instrText>
                    </w:r>
                    <w:r>
                      <w:rPr>
                        <w:rFonts w:ascii="Arial"/>
                        <w:spacing w:val="-5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</w:rPr>
                      <w:t>10</w:t>
                    </w:r>
                    <w:r>
                      <w:rPr>
                        <w:rFonts w:ascii="Arial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1"/>
      <w:numFmt w:val="decimal"/>
      <w:lvlText w:val="[%1]"/>
      <w:lvlJc w:val="left"/>
      <w:pPr>
        <w:ind w:left="0" w:hanging="32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08" w:hanging="3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16" w:hanging="3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4" w:hanging="3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3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8" w:hanging="3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6" w:hanging="3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4" w:hanging="327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5"/>
      <w:numFmt w:val="decimal"/>
      <w:lvlText w:val="%1"/>
      <w:lvlJc w:val="left"/>
      <w:pPr>
        <w:ind w:left="419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19" w:hanging="4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0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4"/>
      <w:numFmt w:val="decimal"/>
      <w:lvlText w:val="%1"/>
      <w:lvlJc w:val="left"/>
      <w:pPr>
        <w:ind w:left="419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19" w:hanging="4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540" w:hanging="5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60" w:hanging="5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0" w:hanging="5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80" w:hanging="5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0" w:hanging="5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0" w:hanging="5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0" w:hanging="54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3"/>
      <w:numFmt w:val="decimal"/>
      <w:lvlText w:val="%1"/>
      <w:lvlJc w:val="left"/>
      <w:pPr>
        <w:ind w:left="419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19" w:hanging="4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0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●"/>
      <w:lvlJc w:val="left"/>
      <w:pPr>
        <w:ind w:left="54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2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●"/>
      <w:lvlJc w:val="left"/>
      <w:pPr>
        <w:ind w:left="54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2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419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19" w:hanging="4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540" w:hanging="5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60" w:hanging="5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0" w:hanging="5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80" w:hanging="5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0" w:hanging="5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0" w:hanging="5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0" w:hanging="54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419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19" w:hanging="4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52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8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4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0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16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2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8" w:hanging="420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00"/>
      <w:jc w:val="both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0"/>
      <w:jc w:val="both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80"/>
      <w:ind w:left="419" w:hanging="419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jc w:val="both"/>
      <w:outlineLvl w:val="3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200"/>
      <w:ind w:left="540" w:hanging="540"/>
      <w:jc w:val="both"/>
      <w:outlineLvl w:val="4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right="608"/>
      <w:jc w:val="center"/>
    </w:pPr>
    <w:rPr>
      <w:rFonts w:ascii="Times New Roman" w:hAnsi="Times New Roman" w:eastAsia="Times New Roman" w:cs="Times New Roman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0"/>
      <w:ind w:left="419" w:hanging="41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9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DMM - Google Docs</dc:title>
  <dcterms:created xsi:type="dcterms:W3CDTF">2026-10-08T13:48:13Z</dcterms:created>
  <dcterms:modified xsi:type="dcterms:W3CDTF">2026-10-08T13:48:13Z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2026-10-08T00:00:00Z</vt:filetime>
  </property>
  <property fmtid="{D5CDD505-2E9C-101B-9397-08002B2CF9AE}" pid="4" name="Creator">
    <vt:lpwstr>Mozilla/5.0 (Windows NT 10.0; Win64; x64) AppleWebKit/537.36 (KHTML, like Gecko) Chrome/154.0.0.0 Safari/537.36</vt:lpwstr>
  </property>
  <property fmtid="{D5CDD505-2E9C-101B-9397-08002B2CF9AE}" pid="5" name="LastSaved">
    <vt:filetime>2026-10-08T00:00:00Z</vt:filetime>
  </property>
  <property fmtid="{D5CDD505-2E9C-101B-9397-08002B2CF9AE}" pid="6" name="Producer">
    <vt:lpwstr>3-Heights(TM) PDF Security Shell 4.8.25.2 (http://www.pdf-tools.com)</vt:lpwstr>
  </property>
</Properties>
</file>