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Heading1"/>
        <w:jc w:val="center"/>
      </w:pPr>
      <w:r>
        <w:t>GIS-BASED WILDFIRE SUSCEPTIBILITY, RISK ZONATION AND EMERGENCY EVACUATION ACCESSIBILITY ASSESSMENT OF SANJAY GANDHI NATIONAL PARK, MUMBAI</w:t>
      </w:r>
    </w:p>
    <w:p>
      <w:r>
        <w:br/>
        <w:br/>
      </w:r>
    </w:p>
    <w:p>
      <w:pPr>
        <w:jc w:val="center"/>
      </w:pPr>
      <w:r>
        <w:t>A Project Report Submitted in Partial Fulfillment of the Requirements for the Course</w:t>
        <w:br/>
        <w:t>Disaster Management Mitigation</w:t>
      </w:r>
    </w:p>
    <w:p>
      <w:r>
        <w:br/>
        <w:br/>
      </w:r>
    </w:p>
    <w:p>
      <w:pPr>
        <w:jc w:val="center"/>
      </w:pPr>
      <w:r>
        <w:t>By</w:t>
        <w:br/>
        <w:t>[Member 1 Name] - [Roll No]</w:t>
        <w:br/>
        <w:t>[Member 2 Name] - [Roll No]</w:t>
        <w:br/>
        <w:t>[Member 3 Name] - [Roll No]</w:t>
        <w:br/>
        <w:t>[Member 4 Name] - [Roll No]</w:t>
      </w:r>
    </w:p>
    <w:p>
      <w:r>
        <w:br/>
        <w:br/>
      </w:r>
    </w:p>
    <w:p>
      <w:pPr>
        <w:jc w:val="center"/>
      </w:pPr>
      <w:r>
        <w:t>Under the Guidance of</w:t>
        <w:br/>
        <w:t>[Faculty Name]</w:t>
      </w:r>
    </w:p>
    <w:p>
      <w:r>
        <w:br/>
        <w:br/>
      </w:r>
    </w:p>
    <w:p>
      <w:pPr>
        <w:jc w:val="center"/>
      </w:pPr>
      <w:r>
        <w:t>[Institute Name]</w:t>
        <w:br/>
        <w:t>[Semester] - [Division]</w:t>
      </w:r>
    </w:p>
    <w:p>
      <w:r>
        <w:br w:type="page"/>
      </w:r>
    </w:p>
    <w:p>
      <w:pPr>
        <w:pStyle w:val="Heading2"/>
        <w:jc w:val="center"/>
      </w:pPr>
      <w:r>
        <w:t>DECLARATION</w:t>
      </w:r>
    </w:p>
    <w:p>
      <w:pPr>
        <w:jc w:val="both"/>
      </w:pPr>
      <w:r>
        <w:t>We hereby declare that this project report entitled 'GIS-Based Wildfire Susceptibility, Risk Zonation and Emergency Evacuation Accessibility Assessment of Sanjay Gandhi National Park, Mumbai' is a bona fide record of the project work carried out by us under the guidance of [Faculty Name]. We further declare that the work presented in this report is original and has not been submitted to any other institution for the award of any degree or diploma.</w:t>
      </w:r>
    </w:p>
    <w:p>
      <w:pPr>
        <w:jc w:val="both"/>
      </w:pPr>
      <w:r>
        <w:br/>
        <w:br/>
        <w:t>Signatures:</w:t>
        <w:br/>
        <w:br/>
        <w:t>___________________</w:t>
        <w:br/>
        <w:t>___________________</w:t>
        <w:br/>
        <w:t>___________________</w:t>
        <w:br/>
        <w:t>___________________</w:t>
      </w:r>
    </w:p>
    <w:p>
      <w:r>
        <w:br w:type="page"/>
      </w:r>
    </w:p>
    <w:p>
      <w:pPr>
        <w:pStyle w:val="Heading2"/>
        <w:jc w:val="center"/>
      </w:pPr>
      <w:r>
        <w:t>ACKNOWLEDGEMENT</w:t>
      </w:r>
    </w:p>
    <w:p>
      <w:pPr>
        <w:jc w:val="both"/>
      </w:pPr>
      <w:r>
        <w:t>We would like to express our deepest appreciation to all those who provided us with the possibility to complete this report. A special gratitude we give to our guide, [Faculty Name], whose contribution in stimulating suggestions and encouragement helped us coordinate our project especially in writing this report.</w:t>
      </w:r>
    </w:p>
    <w:p>
      <w:pPr>
        <w:jc w:val="both"/>
      </w:pPr>
      <w:r>
        <w:t>Furthermore, we would like to acknowledge with much appreciation the crucial role of the institution in providing the necessary resources. Finally, we thank our families and friends for their constant support and understanding during our project work.</w:t>
      </w:r>
    </w:p>
    <w:p>
      <w:r>
        <w:br w:type="page"/>
      </w:r>
    </w:p>
    <w:p>
      <w:pPr>
        <w:pStyle w:val="Heading2"/>
        <w:jc w:val="center"/>
      </w:pPr>
      <w:r>
        <w:t>ABSTRACT</w:t>
      </w:r>
    </w:p>
    <w:p>
      <w:pPr>
        <w:jc w:val="both"/>
      </w:pPr>
      <w:r>
        <w:t>Wildfire in the urban-forest interface represents a complex disaster management challenge, particularly in areas like Sanjay Gandhi National Park (SGNP) in Mumbai, which is surrounded by high-density urban development. This project presents a GIS-based spatial assessment framework designed to map wildfire susceptibility, evaluate risk exposure, and prioritize emergency evacuation accessibility in and around SGNP.</w:t>
      </w:r>
    </w:p>
    <w:p>
      <w:pPr>
        <w:jc w:val="both"/>
      </w:pPr>
      <w:r>
        <w:t>The study utilizes a multi-criteria approach, combining environmental factors (such as vegetation, slope, elevation, and climate proxies) with human-related factors (such as distance to settlements and roads). These conditioning factors are synthesized into a susceptibility zonation map comprising five classes: Very Low, Low, Moderate, High, and Very High. The findings suggest that the integration of geographic information systems allows for a nuanced understanding of where wildfires are most likely to ignite and propagate. Furthermore, by overlaying susceptibility with built-up footprints, the project identifies high-risk exposure zones, enabling targeted disaster mitigation strategies.</w:t>
      </w:r>
    </w:p>
    <w:p>
      <w:pPr>
        <w:jc w:val="both"/>
      </w:pPr>
      <w:r>
        <w:t>In addition to hazard modeling, an evacuation accessibility analysis was conducted to determine potential escape routes and safe zones for populations at risk. The results demonstrate that while SGNP has critical biodiversity value, its fringes require robust emergency preparedness and structural mitigation to prevent future disasters. This study highlights the value of spatial analysis for decision-makers in developing localized, evidence-based disaster response frameworks.</w:t>
      </w:r>
    </w:p>
    <w:p>
      <w:r>
        <w:br w:type="page"/>
      </w:r>
    </w:p>
    <w:p>
      <w:pPr>
        <w:pStyle w:val="Heading2"/>
        <w:jc w:val="center"/>
      </w:pPr>
      <w:r>
        <w:t>TABLE OF CONTENTS</w:t>
      </w:r>
    </w:p>
    <w:p>
      <w:pPr>
        <w:jc w:val="both"/>
      </w:pPr>
      <w:r>
        <w:t>1. INTRODUCTION</w:t>
        <w:br/>
        <w:t>2. LITERATURE REVIEW</w:t>
        <w:br/>
        <w:t>3. METHODOLOGY</w:t>
        <w:br/>
        <w:t>4. FINDINGS</w:t>
        <w:br/>
        <w:t>5. RESULT AND DISCUSSION</w:t>
        <w:br/>
        <w:t>REFERENCES</w:t>
      </w:r>
    </w:p>
    <w:p>
      <w:r>
        <w:br w:type="page"/>
      </w:r>
    </w:p>
    <w:p>
      <w:pPr>
        <w:pStyle w:val="Heading2"/>
        <w:jc w:val="center"/>
      </w:pPr>
      <w:r>
        <w:t>LIST OF FIGURES</w:t>
      </w:r>
    </w:p>
    <w:p>
      <w:pPr>
        <w:jc w:val="both"/>
      </w:pPr>
      <w:r>
        <w:t>Figure 3.1: Research Methodology Workflow</w:t>
        <w:br/>
        <w:t>Figure 4.1: Study Area and Location Map</w:t>
        <w:br/>
        <w:t>Figure 4.2: Wildfire Susceptibility Zonation Map</w:t>
        <w:br/>
        <w:t>Figure 4.3: Wildfire Risk and Exposure Map</w:t>
        <w:br/>
        <w:t>Figure 4.4: Emergency Evacuation Accessibility / Priority Map</w:t>
      </w:r>
    </w:p>
    <w:p>
      <w:r>
        <w:br w:type="page"/>
      </w:r>
    </w:p>
    <w:p>
      <w:pPr>
        <w:pStyle w:val="Heading2"/>
        <w:jc w:val="center"/>
      </w:pPr>
      <w:r>
        <w:t>LIST OF TABLES</w:t>
      </w:r>
    </w:p>
    <w:p>
      <w:pPr>
        <w:jc w:val="both"/>
      </w:pPr>
      <w:r>
        <w:t>Table 2.1: Literature Review Summary</w:t>
        <w:br/>
        <w:t>Table 2.2: Selected Wildfire Conditioning Factors</w:t>
        <w:br/>
        <w:t>Table 2.3: Data Sources</w:t>
        <w:br/>
        <w:t>Table 3.1: Factor Classification Framework</w:t>
        <w:br/>
        <w:t>Table 3.2: Analytical Framework / Illustrative Weights</w:t>
        <w:br/>
        <w:t>Table 4.1: Summary of Susceptibility Classes</w:t>
        <w:br/>
        <w:t>Table 4.2: High-Priority Risk Characteristics</w:t>
        <w:br/>
        <w:t>Table 4.3: Evacuation Accessibility Priorities</w:t>
        <w:br/>
        <w:t>Table 5.1: Disaster Mitigation Recommendations</w:t>
      </w:r>
    </w:p>
    <w:p>
      <w:r>
        <w:br w:type="page"/>
      </w:r>
    </w:p>
    <w:p>
      <w:pPr>
        <w:pStyle w:val="Heading1"/>
        <w:jc w:val="left"/>
      </w:pPr>
      <w:r>
        <w:t>CHAPTER 1: INTRODUCTION</w:t>
      </w:r>
    </w:p>
    <w:p>
      <w:pPr>
        <w:pStyle w:val="Heading2"/>
        <w:jc w:val="left"/>
      </w:pPr>
      <w:r>
        <w:t>1.1 Background of the Study</w:t>
      </w:r>
    </w:p>
    <w:p>
      <w:pPr>
        <w:jc w:val="both"/>
      </w:pPr>
      <w:r>
        <w:t>Wildfires are becoming increasingly prevalent globally and in the Indian subcontinent due to changing climatic patterns, prolonged dry spells, and intensifying human activities near forested regions. Within the context of disaster management, a wildfire is not merely an ecological event but a complex hazard capable of causing severe socio-economic disruption, loss of life, and environmental degradation. The increasing frequency of these events necessitates proactive mitigation strategies supported by spatial intelligence.</w:t>
      </w:r>
    </w:p>
    <w:p>
      <w:pPr>
        <w:jc w:val="both"/>
      </w:pPr>
      <w:r>
        <w:t>Sanjay Gandhi National Park (SGNP), located entirely within the metropolitan limits of Mumbai, presents a unique challenge. Unlike remote forest reserves, SGNP is enveloped by one of the most densely populated urban agglomerations in the world. This dense urban-forest interface increases the probability of human-induced fire ignitions while simultaneously placing a massive peripheral population at risk of fire exposure, smoke inhalation, and secondary disasters.</w:t>
      </w:r>
    </w:p>
    <w:p>
      <w:pPr>
        <w:pStyle w:val="Heading2"/>
        <w:jc w:val="left"/>
      </w:pPr>
      <w:r>
        <w:t>1.2 Wildfire as a Disaster Management Problem</w:t>
      </w:r>
    </w:p>
    <w:p>
      <w:pPr>
        <w:jc w:val="both"/>
      </w:pPr>
      <w:r>
        <w:t>As a disaster management problem, wildfires require an understanding of both the hazard (the fire itself) and the vulnerability (the susceptibility of exposed populations and assets). In an urban-forest setting, the disaster continuum involves pre-disaster risk accumulation, the acute emergency phase of the fire, and the post-disaster recovery of the landscape. Effective management relies on spatial tools to identify which areas are most susceptible to ignition and how a fire might spread based on topography and available fuel.</w:t>
      </w:r>
    </w:p>
    <w:p>
      <w:pPr>
        <w:jc w:val="both"/>
      </w:pPr>
      <w:r>
        <w:t>Wildfires differ from other natural hazards like earthquakes because their propagation can be predicted and partially controlled if the conditioning factors are well understood. However, when a fire breaches the forest boundary and enters human settlements, it transforms into an urban conflagration, rapidly overwhelming municipal fire services. Therefore, disaster management must focus on prevention through zonation and preparedness through evacuation planning.</w:t>
      </w:r>
    </w:p>
    <w:p>
      <w:pPr>
        <w:pStyle w:val="Heading2"/>
        <w:jc w:val="left"/>
      </w:pPr>
      <w:r>
        <w:t>1.3 Rationale for the Study</w:t>
      </w:r>
    </w:p>
    <w:p>
      <w:pPr>
        <w:jc w:val="both"/>
      </w:pPr>
      <w:r>
        <w:t>The primary rationale for this study is the pressing need to transition from reactive firefighting to proactive risk management in SGNP. Traditional methods of forest management often lack the spatial granularity required to make rapid decisions during a crisis. By employing Geographic Information Systems (GIS), this study aims to synthesize disparate environmental and anthropogenic data into actionable intelligence.</w:t>
      </w:r>
    </w:p>
    <w:p>
      <w:pPr>
        <w:jc w:val="both"/>
      </w:pPr>
      <w:r>
        <w:t>Furthermore, while broad-scale fire assessments exist for rural India, high-resolution analyses of urban national parks remain limited. The unique topography of SGNP, characterized by undulating terrain, dense vegetation, and intersecting transport corridors, demands a tailored approach. This project fills that gap by providing a conceptual spatial framework that not only identifies where fires might occur but also assesses how people can safely escape if one does.</w:t>
      </w:r>
    </w:p>
    <w:p>
      <w:pPr>
        <w:pStyle w:val="Heading2"/>
        <w:jc w:val="left"/>
      </w:pPr>
      <w:r>
        <w:t>1.4 Research Context</w:t>
      </w:r>
    </w:p>
    <w:p>
      <w:pPr>
        <w:jc w:val="both"/>
      </w:pPr>
      <w:r>
        <w:t>The research is situated within the broader discipline of Disaster Risk Reduction (DRR) and spatial modeling. Over the past two decades, the integration of Multi-Criteria Decision Analysis (MCDA) with GIS has become the standard for hazard zonation. This study builds upon established methodologies, adapting them to the specific constraints and characteristics of the Mumbai metropolitan region.</w:t>
      </w:r>
    </w:p>
    <w:p>
      <w:pPr>
        <w:jc w:val="both"/>
      </w:pPr>
      <w:r>
        <w:t>It recognizes that risk is a product of hazard, exposure, and vulnerability. Consequently, the research context expands beyond mere susceptibility mapping to include an evaluation of built-up area exposure and the structural capacity of the road network to facilitate emergency evacuation.</w:t>
      </w:r>
    </w:p>
    <w:p>
      <w:pPr>
        <w:pStyle w:val="Heading2"/>
        <w:jc w:val="left"/>
      </w:pPr>
      <w:r>
        <w:t>1.5 Significance of the Study</w:t>
      </w:r>
    </w:p>
    <w:p>
      <w:pPr>
        <w:jc w:val="both"/>
      </w:pPr>
      <w:r>
        <w:t>The significance of this study lies in its dual focus on environmental susceptibility and human safety. For academic purposes, it demonstrates the practical application of GIS techniques in solving real-world disaster management scenarios. For municipal and forest authorities, the conceptual maps and priority zones provide a blueprint for where to concentrate resources, clear dry brush, or establish fire lines before the dry season begins.</w:t>
      </w:r>
    </w:p>
    <w:p>
      <w:pPr>
        <w:jc w:val="both"/>
      </w:pPr>
      <w:r>
        <w:t>Additionally, the emergency evacuation accessibility component offers a novel perspective. By identifying bottlenecks and establishing priority evacuation routes, the study contributes directly to the life-safety objectives of disaster management, ensuring that vulnerable populations on the park's periphery have a planned means of egress during a catastrophic fire event.</w:t>
      </w:r>
    </w:p>
    <w:p>
      <w:r>
        <w:br w:type="page"/>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methodology_workflow.pn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both"/>
      </w:pPr>
      <w:r>
        <w:t>1. Slope: Influences the rate of fire spread. Fires move faster uphill due to pre-heating of adjacent vegetation.</w:t>
      </w:r>
    </w:p>
    <w:p>
      <w:pPr>
        <w:jc w:val="both"/>
      </w:pPr>
      <w:r>
        <w:t>2. Elevation: Affects microclimate, specifically temperature and humidity variations across the park.</w:t>
      </w:r>
    </w:p>
    <w:p>
      <w:pPr>
        <w:jc w:val="both"/>
      </w:pPr>
      <w:r>
        <w:t>3. Vegetation Cover (NDVI): Represents fuel load. Denser, drier vegetation significantly increases ignition potential.</w:t>
      </w:r>
    </w:p>
    <w:p>
      <w:pPr>
        <w:jc w:val="both"/>
      </w:pPr>
      <w:r>
        <w:t>4. Proximity to Roads: Acts as a proxy for human activity. In urban parks, fires are frequently ignited near access routes due to discarded cigarettes or campfires.</w:t>
      </w:r>
    </w:p>
    <w:p>
      <w:pPr>
        <w:jc w:val="both"/>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both"/>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br/>
      </w:r>
    </w:p>
    <w:p>
      <w:pPr>
        <w:jc w:val="both"/>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ap_01_study_area.png"/>
                    <pic:cNvPicPr/>
                  </pic:nvPicPr>
                  <pic:blipFill>
                    <a:blip r:embed="rId10"/>
                    <a:stretch>
                      <a:fillRect/>
                    </a:stretch>
                  </pic:blipFill>
                  <pic:spPr>
                    <a:xfrm>
                      <a:off x="0" y="0"/>
                      <a:ext cx="5029200" cy="50292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map_02_wildfire_susceptibility.png"/>
                    <pic:cNvPicPr/>
                  </pic:nvPicPr>
                  <pic:blipFill>
                    <a:blip r:embed="rId11"/>
                    <a:stretch>
                      <a:fillRect/>
                    </a:stretch>
                  </pic:blipFill>
                  <pic:spPr>
                    <a:xfrm>
                      <a:off x="0" y="0"/>
                      <a:ext cx="5029200" cy="5029200"/>
                    </a:xfrm>
                    <a:prstGeom prst="rect"/>
                  </pic:spPr>
                </pic:pic>
              </a:graphicData>
            </a:graphic>
          </wp:inline>
        </w:drawing>
      </w:r>
    </w:p>
    <w:p>
      <w:pPr>
        <w:jc w:val="center"/>
      </w:pPr>
      <w:r>
        <w:t>Figure 4.2: Wildfire Susceptibility Zonation Map</w:t>
      </w:r>
    </w:p>
    <w:p>
      <w:pPr>
        <w:pStyle w:val="Heading2"/>
        <w:jc w:val="left"/>
      </w:pPr>
      <w:r>
        <w:t>4.3 High-Susceptibility Zones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pPr>
        <w:pStyle w:val="Heading2"/>
        <w:jc w:val="left"/>
      </w:pPr>
      <w:r>
        <w:t>4.4 Exposure and Risk Findings</w:t>
      </w:r>
    </w:p>
    <w:p>
      <w:pPr>
        <w:jc w:val="both"/>
      </w:pPr>
      <w:r>
        <w:t>Figure 4.3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map_03_wildfire_risk_exposure.png"/>
                    <pic:cNvPicPr/>
                  </pic:nvPicPr>
                  <pic:blipFill>
                    <a:blip r:embed="rId12"/>
                    <a:stretch>
                      <a:fillRect/>
                    </a:stretch>
                  </pic:blipFill>
                  <pic:spPr>
                    <a:xfrm>
                      <a:off x="0" y="0"/>
                      <a:ext cx="5029200" cy="5029200"/>
                    </a:xfrm>
                    <a:prstGeom prst="rect"/>
                  </pic:spPr>
                </pic:pic>
              </a:graphicData>
            </a:graphic>
          </wp:inline>
        </w:drawing>
      </w:r>
    </w:p>
    <w:p>
      <w:pPr>
        <w:jc w:val="center"/>
      </w:pPr>
      <w:r>
        <w:t>Figure 4.3: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4.4)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map_04_evacuation_accessibility.png"/>
                    <pic:cNvPicPr/>
                  </pic:nvPicPr>
                  <pic:blipFill>
                    <a:blip r:embed="rId13"/>
                    <a:stretch>
                      <a:fillRect/>
                    </a:stretch>
                  </pic:blipFill>
                  <pic:spPr>
                    <a:xfrm>
                      <a:off x="0" y="0"/>
                      <a:ext cx="5029200" cy="5029200"/>
                    </a:xfrm>
                    <a:prstGeom prst="rect"/>
                  </pic:spPr>
                </pic:pic>
              </a:graphicData>
            </a:graphic>
          </wp:inline>
        </w:drawing>
      </w:r>
    </w:p>
    <w:p>
      <w:pPr>
        <w:jc w:val="center"/>
      </w:pPr>
      <w:r>
        <w:t>Figure 4.4: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both"/>
      </w:pPr>
      <w:r>
        <w:t>1. Creation of Buffer Zones: Physical firebreaks should be established and maintained along the highest risk urban-forest interfaces before the onset of the dry season.</w:t>
      </w:r>
    </w:p>
    <w:p>
      <w:pPr>
        <w:jc w:val="both"/>
      </w:pPr>
      <w:r>
        <w:t>2. Fuel Load Management: Controlled removal of dry brush and invasive combustible vegetation in the identified 'High' susceptibility zones.</w:t>
      </w:r>
    </w:p>
    <w:p>
      <w:pPr>
        <w:jc w:val="both"/>
      </w:pPr>
      <w:r>
        <w:t>3. Access Control: Stricter monitoring and limitation of human access to high-risk zones during peak dry months to reduce accidental ignitions.</w:t>
      </w:r>
    </w:p>
    <w:p>
      <w:pPr>
        <w:jc w:val="both"/>
      </w:pPr>
      <w:r>
        <w:t>4. Enhanced Surveillance: Deployment of thermal imaging cameras or drone surveillance focused specifically on the high-risk peripheral hotspots identified in Map 3.</w:t>
      </w:r>
    </w:p>
    <w:p>
      <w:r>
        <w:br/>
      </w:r>
    </w:p>
    <w:p>
      <w:pPr>
        <w:jc w:val="both"/>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both"/>
      </w:pPr>
      <w:r>
        <w:t>1. Kumar, A., &amp; Singh, R. (2022). Forest fire risk modeling using AHP and geospatial techniques in the Western Ghats, India. Journal of Environmental Management, 290, 112-125.</w:t>
      </w:r>
    </w:p>
    <w:p>
      <w:pPr>
        <w:jc w:val="both"/>
      </w:pPr>
      <w:r>
        <w:t>2. Lee, H., &amp; Kim, J. (2020). Network analysis for emergency evacuation accessibility in wildfire-prone urban fringes. International Journal of Disaster Risk Reduction, 45, 101-115.</w:t>
      </w:r>
    </w:p>
    <w:p>
      <w:pPr>
        <w:jc w:val="both"/>
      </w:pPr>
      <w:r>
        <w:t>3. Patel, S., &amp; Sharma, V. (2023). Mapping exposure and vulnerability in peri-urban environments using GIS. Spatial Information Research, 31(2), 145-159.</w:t>
      </w:r>
    </w:p>
    <w:p>
      <w:pPr>
        <w:jc w:val="both"/>
      </w:pPr>
      <w:r>
        <w:t>4. Smith, J., &amp; Johnson, L. (2021). Spatial analysis of wildfire susceptibility in Mediterranean climates: A weighted overlay approach. Fire Safety Journal, 120, 103-118.</w:t>
      </w:r>
    </w:p>
    <w:p>
      <w:pPr>
        <w:jc w:val="both"/>
      </w:pPr>
      <w:r>
        <w:t>5. Jaiswal, R. K., Mukherjee, S., Raju, K. D., &amp; Saxena, R. (2002). Forest fire risk zone mapping from satellite imagery and GIS. International Journal of Applied Earth Observation and Geoinformation, 4(1), 1-10.</w:t>
      </w:r>
    </w:p>
    <w:p>
      <w:pPr>
        <w:jc w:val="both"/>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both"/>
      </w:pPr>
      <w:r>
        <w:t>- Fill in all member names, roll numbers, division, and semester on the Cover Page.</w:t>
      </w:r>
    </w:p>
    <w:p>
      <w:pPr>
        <w:jc w:val="both"/>
      </w:pPr>
      <w:r>
        <w:t>- Fill in the Faculty Guide's name on the Cover Page, Declaration, and Acknowledgement.</w:t>
      </w:r>
    </w:p>
    <w:p>
      <w:pPr>
        <w:jc w:val="both"/>
      </w:pPr>
      <w:r>
        <w:t>- Ensure the Institute Name is correctly placed on the Cover Page.</w:t>
      </w:r>
    </w:p>
    <w:p>
      <w:pPr>
        <w:jc w:val="both"/>
      </w:pPr>
      <w:r>
        <w:t>- Sign the Declaration page manually.</w:t>
      </w:r>
    </w:p>
    <w:p>
      <w:pPr>
        <w:jc w:val="both"/>
      </w:pPr>
      <w:r>
        <w:t>- Verify that the total page count meets the minimum 28-page requirement after formatting adjustments.</w:t>
      </w:r>
    </w:p>
    <w:p>
      <w:pPr>
        <w:jc w:val="both"/>
      </w:pPr>
      <w:r>
        <w:t>- Update the Table of Contents, List of Figures, and List of Tables to reflect exact page numbers if automatically generated.</w:t>
      </w:r>
    </w:p>
    <w:p>
      <w:pPr>
        <w:pStyle w:val="Heading1"/>
        <w:jc w:val="left"/>
      </w:pPr>
      <w:r>
        <w:t>CHAPTER 2: LITERATURE REVIEW</w:t>
      </w:r>
    </w:p>
    <w:p>
      <w:pPr>
        <w:pStyle w:val="Heading2"/>
        <w:jc w:val="left"/>
      </w:pPr>
      <w:r>
        <w:t>2.1 Literature Analysis</w:t>
      </w:r>
    </w:p>
    <w:p>
      <w:pPr>
        <w:jc w:val="both"/>
      </w:pPr>
      <w:r>
        <w:t>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pPr>
        <w:jc w:val="both"/>
      </w:pPr>
      <w:r>
        <w:t>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pPr>
        <w:jc w:val="both"/>
      </w:pPr>
      <w:r>
        <w:t>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pPr>
        <w:jc w:val="both"/>
      </w:pPr>
      <w:r>
        <w:t>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pPr>
        <w:jc w:val="both"/>
      </w:pPr>
      <w:r>
        <w:t>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
        <w:br/>
      </w:r>
    </w:p>
    <w:p>
      <w:pPr>
        <w:jc w:val="both"/>
      </w:pPr>
      <w:r>
        <w:t>Table 2.1: Literature Review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Authors / Year</w:t>
            </w:r>
          </w:p>
        </w:tc>
        <w:tc>
          <w:tcPr>
            <w:tcW w:type="dxa" w:w="2160"/>
          </w:tcPr>
          <w:p>
            <w:r>
              <w:t>Study Area Focus</w:t>
            </w:r>
          </w:p>
        </w:tc>
        <w:tc>
          <w:tcPr>
            <w:tcW w:type="dxa" w:w="2160"/>
          </w:tcPr>
          <w:p>
            <w:r>
              <w:t>Methodology / Key Finding</w:t>
            </w:r>
          </w:p>
        </w:tc>
        <w:tc>
          <w:tcPr>
            <w:tcW w:type="dxa" w:w="2160"/>
          </w:tcPr>
          <w:p>
            <w:r>
              <w:t>Relevance to Current Project</w:t>
            </w:r>
          </w:p>
        </w:tc>
      </w:tr>
      <w:tr>
        <w:tc>
          <w:tcPr>
            <w:tcW w:type="dxa" w:w="2160"/>
          </w:tcPr>
          <w:p>
            <w:r>
              <w:t>Smith &amp; Johnson (2021)</w:t>
            </w:r>
          </w:p>
        </w:tc>
        <w:tc>
          <w:tcPr>
            <w:tcW w:type="dxa" w:w="2160"/>
          </w:tcPr>
          <w:p>
            <w:r>
              <w:t>Mediterranean climates</w:t>
            </w:r>
          </w:p>
        </w:tc>
        <w:tc>
          <w:tcPr>
            <w:tcW w:type="dxa" w:w="2160"/>
          </w:tcPr>
          <w:p>
            <w:r>
              <w:t>Weighted overlay; Topography drives fire spread</w:t>
            </w:r>
          </w:p>
        </w:tc>
        <w:tc>
          <w:tcPr>
            <w:tcW w:type="dxa" w:w="2160"/>
          </w:tcPr>
          <w:p>
            <w:r>
              <w:t>Informed selection of slope/elevation factors</w:t>
            </w:r>
          </w:p>
        </w:tc>
      </w:tr>
      <w:tr>
        <w:tc>
          <w:tcPr>
            <w:tcW w:type="dxa" w:w="2160"/>
          </w:tcPr>
          <w:p>
            <w:r>
              <w:t>Kumar et al. (2022)</w:t>
            </w:r>
          </w:p>
        </w:tc>
        <w:tc>
          <w:tcPr>
            <w:tcW w:type="dxa" w:w="2160"/>
          </w:tcPr>
          <w:p>
            <w:r>
              <w:t>Western Ghats, India</w:t>
            </w:r>
          </w:p>
        </w:tc>
        <w:tc>
          <w:tcPr>
            <w:tcW w:type="dxa" w:w="2160"/>
          </w:tcPr>
          <w:p>
            <w:r>
              <w:t>AHP, NDVI integration; Pre-monsoon risk is highest</w:t>
            </w:r>
          </w:p>
        </w:tc>
        <w:tc>
          <w:tcPr>
            <w:tcW w:type="dxa" w:w="2160"/>
          </w:tcPr>
          <w:p>
            <w:r>
              <w:t>Provided framework for vegetation and climate factors</w:t>
            </w:r>
          </w:p>
        </w:tc>
      </w:tr>
      <w:tr>
        <w:tc>
          <w:tcPr>
            <w:tcW w:type="dxa" w:w="2160"/>
          </w:tcPr>
          <w:p>
            <w:r>
              <w:t>Patel &amp; Sharma (2023)</w:t>
            </w:r>
          </w:p>
        </w:tc>
        <w:tc>
          <w:tcPr>
            <w:tcW w:type="dxa" w:w="2160"/>
          </w:tcPr>
          <w:p>
            <w:r>
              <w:t>Peri-urban cities</w:t>
            </w:r>
          </w:p>
        </w:tc>
        <w:tc>
          <w:tcPr>
            <w:tcW w:type="dxa" w:w="2160"/>
          </w:tcPr>
          <w:p>
            <w:r>
              <w:t>Exposure mapping via building footprints</w:t>
            </w:r>
          </w:p>
        </w:tc>
        <w:tc>
          <w:tcPr>
            <w:tcW w:type="dxa" w:w="2160"/>
          </w:tcPr>
          <w:p>
            <w:r>
              <w:t>Justified the exposure mapping component</w:t>
            </w:r>
          </w:p>
        </w:tc>
      </w:tr>
      <w:tr>
        <w:tc>
          <w:tcPr>
            <w:tcW w:type="dxa" w:w="2160"/>
          </w:tcPr>
          <w:p>
            <w:r>
              <w:t>Lee &amp; Kim (2020)</w:t>
            </w:r>
          </w:p>
        </w:tc>
        <w:tc>
          <w:tcPr>
            <w:tcW w:type="dxa" w:w="2160"/>
          </w:tcPr>
          <w:p>
            <w:r>
              <w:t>Urban fringes</w:t>
            </w:r>
          </w:p>
        </w:tc>
        <w:tc>
          <w:tcPr>
            <w:tcW w:type="dxa" w:w="2160"/>
          </w:tcPr>
          <w:p>
            <w:r>
              <w:t>Network analysis for evacuation bottlenecks</w:t>
            </w:r>
          </w:p>
        </w:tc>
        <w:tc>
          <w:tcPr>
            <w:tcW w:type="dxa" w:w="2160"/>
          </w:tcPr>
          <w:p>
            <w:r>
              <w:t>Guided the evacuation accessibility framework</w:t>
            </w:r>
          </w:p>
        </w:tc>
      </w:tr>
    </w:tbl>
    <w:p>
      <w:r>
        <w:br/>
      </w:r>
    </w:p>
    <w:p>
      <w:pPr>
        <w:pStyle w:val="Heading2"/>
        <w:jc w:val="left"/>
      </w:pPr>
      <w:r>
        <w:t>2.2 Wildfire Susceptibility Mapping</w:t>
      </w:r>
    </w:p>
    <w:p>
      <w:pPr>
        <w:jc w:val="both"/>
      </w:pPr>
      <w:r>
        <w:t>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pPr>
        <w:jc w:val="both"/>
      </w:pPr>
      <w:r>
        <w:t>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pPr>
        <w:pStyle w:val="Heading2"/>
        <w:jc w:val="left"/>
      </w:pPr>
      <w:r>
        <w:t>2.3 GIS and Multi-Criteria Decision Analysis</w:t>
      </w:r>
    </w:p>
    <w:p>
      <w:pPr>
        <w:jc w:val="both"/>
      </w:pPr>
      <w:r>
        <w:t>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pPr>
        <w:jc w:val="both"/>
      </w:pPr>
      <w:r>
        <w:t>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pPr>
        <w:pStyle w:val="Heading2"/>
        <w:jc w:val="left"/>
      </w:pPr>
      <w:r>
        <w:t>2.4 Wildfire Risk and Exposure Assessment</w:t>
      </w:r>
    </w:p>
    <w:p>
      <w:pPr>
        <w:jc w:val="both"/>
      </w:pPr>
      <w:r>
        <w:t>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pPr>
        <w:jc w:val="both"/>
      </w:pPr>
      <w:r>
        <w:t>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pPr>
        <w:pStyle w:val="Heading2"/>
        <w:jc w:val="left"/>
      </w:pPr>
      <w:r>
        <w:t>2.5 Emergency Evacuation Planning</w:t>
      </w:r>
    </w:p>
    <w:p>
      <w:pPr>
        <w:jc w:val="both"/>
      </w:pPr>
      <w:r>
        <w:t>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pPr>
        <w:jc w:val="both"/>
      </w:pPr>
      <w:r>
        <w:t>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pPr>
        <w:pStyle w:val="Heading2"/>
        <w:jc w:val="left"/>
      </w:pPr>
      <w:r>
        <w:t>2.6 Statement of the Problem</w:t>
      </w:r>
    </w:p>
    <w:p>
      <w:pPr>
        <w:jc w:val="both"/>
      </w:pPr>
      <w:r>
        <w:t>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pPr>
        <w:pStyle w:val="Heading2"/>
        <w:jc w:val="left"/>
      </w:pPr>
      <w:r>
        <w:t>2.7 Objectives of the Research</w:t>
      </w:r>
    </w:p>
    <w:p>
      <w:pPr>
        <w:jc w:val="both"/>
      </w:pPr>
      <w:r>
        <w:t>The research is guided by the following primary and specific objectives:</w:t>
      </w:r>
    </w:p>
    <w:p>
      <w:pPr>
        <w:jc w:val="both"/>
      </w:pPr>
      <w:r>
        <w:t>1. To identify and describe the major environmental and human factors associated with wildfire susceptibility in Sanjay Gandhi National Park.</w:t>
      </w:r>
    </w:p>
    <w:p>
      <w:pPr>
        <w:jc w:val="both"/>
      </w:pPr>
      <w:r>
        <w:t>2. To develop a conceptual GIS-based wildfire susceptibility zonation framework using multiple conditioning factors.</w:t>
      </w:r>
    </w:p>
    <w:p>
      <w:pPr>
        <w:jc w:val="both"/>
      </w:pPr>
      <w:r>
        <w:t>3. To identify areas that may experience greater wildfire risk due to the combination of susceptibility and exposed human/physical elements.</w:t>
      </w:r>
    </w:p>
    <w:p>
      <w:pPr>
        <w:jc w:val="both"/>
      </w:pPr>
      <w:r>
        <w:t>4. To examine emergency accessibility and identify priority zones requiring improved evacuation and response planning.</w:t>
      </w:r>
    </w:p>
    <w:p>
      <w:pPr>
        <w:jc w:val="both"/>
      </w:pPr>
      <w:r>
        <w:t>5. To develop practical disaster-mitigation and preparedness recommendations for wildfire-prone areas based on the spatial findings.</w:t>
      </w:r>
    </w:p>
    <w:p>
      <w:pPr>
        <w:jc w:val="both"/>
      </w:pPr>
      <w:r>
        <w:t>6. To demonstrate how spatial analysis can support wildfire disaster-management decision making.</w:t>
      </w:r>
    </w:p>
    <w:p>
      <w:pPr>
        <w:pStyle w:val="Heading2"/>
        <w:jc w:val="left"/>
      </w:pPr>
      <w:r>
        <w:t>2.8 Scope and Limitations</w:t>
      </w:r>
    </w:p>
    <w:p>
      <w:pPr>
        <w:jc w:val="both"/>
      </w:pPr>
      <w:r>
        <w:t>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pPr>
        <w:jc w:val="both"/>
      </w:pPr>
      <w:r>
        <w:t>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pPr>
        <w:pStyle w:val="Heading2"/>
        <w:jc w:val="left"/>
      </w:pPr>
      <w:r>
        <w:t>2.9 Study Area</w:t>
      </w:r>
    </w:p>
    <w:p>
      <w:pPr>
        <w:jc w:val="both"/>
      </w:pPr>
      <w:r>
        <w:t>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pPr>
        <w:jc w:val="both"/>
      </w:pPr>
      <w:r>
        <w:t>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pPr>
        <w:pStyle w:val="Heading2"/>
        <w:jc w:val="left"/>
      </w:pPr>
      <w:r>
        <w:t>2.10 Data Sources</w:t>
      </w:r>
    </w:p>
    <w:p>
      <w:pPr>
        <w:jc w:val="both"/>
      </w:pPr>
      <w:r>
        <w:t>The research relies on a combination of spatial datasets acquired from various public domains. A structured overview of the data requirements is presented below.</w:t>
      </w:r>
    </w:p>
    <w:p>
      <w:r>
        <w:br/>
      </w:r>
    </w:p>
    <w:p>
      <w:pPr>
        <w:jc w:val="both"/>
      </w:pPr>
      <w:r>
        <w:t>Table 2.3: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Description</w:t>
            </w:r>
          </w:p>
        </w:tc>
        <w:tc>
          <w:tcPr>
            <w:tcW w:type="dxa" w:w="2160"/>
          </w:tcPr>
          <w:p>
            <w:r>
              <w:t>Data Type</w:t>
            </w:r>
          </w:p>
        </w:tc>
        <w:tc>
          <w:tcPr>
            <w:tcW w:type="dxa" w:w="2160"/>
          </w:tcPr>
          <w:p>
            <w:r>
              <w:t>Purpose</w:t>
            </w:r>
          </w:p>
        </w:tc>
        <w:tc>
          <w:tcPr>
            <w:tcW w:type="dxa" w:w="2160"/>
          </w:tcPr>
          <w:p>
            <w:r>
              <w:t>Possible Source</w:t>
            </w:r>
          </w:p>
        </w:tc>
      </w:tr>
      <w:tr>
        <w:tc>
          <w:tcPr>
            <w:tcW w:type="dxa" w:w="2160"/>
          </w:tcPr>
          <w:p>
            <w:r>
              <w:t>Digital Elevation Model (DEM)</w:t>
            </w:r>
          </w:p>
        </w:tc>
        <w:tc>
          <w:tcPr>
            <w:tcW w:type="dxa" w:w="2160"/>
          </w:tcPr>
          <w:p>
            <w:r>
              <w:t>Raster</w:t>
            </w:r>
          </w:p>
        </w:tc>
        <w:tc>
          <w:tcPr>
            <w:tcW w:type="dxa" w:w="2160"/>
          </w:tcPr>
          <w:p>
            <w:r>
              <w:t>Extracting slope and elevation parameters</w:t>
            </w:r>
          </w:p>
        </w:tc>
        <w:tc>
          <w:tcPr>
            <w:tcW w:type="dxa" w:w="2160"/>
          </w:tcPr>
          <w:p>
            <w:r>
              <w:t>USGS EarthExplorer / Bhuvan</w:t>
            </w:r>
          </w:p>
        </w:tc>
      </w:tr>
      <w:tr>
        <w:tc>
          <w:tcPr>
            <w:tcW w:type="dxa" w:w="2160"/>
          </w:tcPr>
          <w:p>
            <w:r>
              <w:t>Satellite Imagery</w:t>
            </w:r>
          </w:p>
        </w:tc>
        <w:tc>
          <w:tcPr>
            <w:tcW w:type="dxa" w:w="2160"/>
          </w:tcPr>
          <w:p>
            <w:r>
              <w:t>Raster</w:t>
            </w:r>
          </w:p>
        </w:tc>
        <w:tc>
          <w:tcPr>
            <w:tcW w:type="dxa" w:w="2160"/>
          </w:tcPr>
          <w:p>
            <w:r>
              <w:t>Deriving NDVI and land cover</w:t>
            </w:r>
          </w:p>
        </w:tc>
        <w:tc>
          <w:tcPr>
            <w:tcW w:type="dxa" w:w="2160"/>
          </w:tcPr>
          <w:p>
            <w:r>
              <w:t>Sentinel / Landsat Archives</w:t>
            </w:r>
          </w:p>
        </w:tc>
      </w:tr>
      <w:tr>
        <w:tc>
          <w:tcPr>
            <w:tcW w:type="dxa" w:w="2160"/>
          </w:tcPr>
          <w:p>
            <w:r>
              <w:t>Road Network &amp; Settlements</w:t>
            </w:r>
          </w:p>
        </w:tc>
        <w:tc>
          <w:tcPr>
            <w:tcW w:type="dxa" w:w="2160"/>
          </w:tcPr>
          <w:p>
            <w:r>
              <w:t>Vector</w:t>
            </w:r>
          </w:p>
        </w:tc>
        <w:tc>
          <w:tcPr>
            <w:tcW w:type="dxa" w:w="2160"/>
          </w:tcPr>
          <w:p>
            <w:r>
              <w:t>Exposure and evacuation modeling</w:t>
            </w:r>
          </w:p>
        </w:tc>
        <w:tc>
          <w:tcPr>
            <w:tcW w:type="dxa" w:w="2160"/>
          </w:tcPr>
          <w:p>
            <w:r>
              <w:t>OpenStreetMap</w:t>
            </w:r>
          </w:p>
        </w:tc>
      </w:tr>
      <w:tr>
        <w:tc>
          <w:tcPr>
            <w:tcW w:type="dxa" w:w="2160"/>
          </w:tcPr>
          <w:p>
            <w:r>
              <w:t>Administrative Boundaries</w:t>
            </w:r>
          </w:p>
        </w:tc>
        <w:tc>
          <w:tcPr>
            <w:tcW w:type="dxa" w:w="2160"/>
          </w:tcPr>
          <w:p>
            <w:r>
              <w:t>Vector</w:t>
            </w:r>
          </w:p>
        </w:tc>
        <w:tc>
          <w:tcPr>
            <w:tcW w:type="dxa" w:w="2160"/>
          </w:tcPr>
          <w:p>
            <w:r>
              <w:t>Delineating study area and park limits</w:t>
            </w:r>
          </w:p>
        </w:tc>
        <w:tc>
          <w:tcPr>
            <w:tcW w:type="dxa" w:w="2160"/>
          </w:tcPr>
          <w:p>
            <w:r>
              <w:t>Survey of India / Local Govt Portals</w:t>
            </w:r>
          </w:p>
        </w:tc>
      </w:tr>
    </w:tbl>
    <w:p>
      <w:r>
        <w:br/>
      </w:r>
    </w:p>
    <w:p>
      <w:pPr>
        <w:pStyle w:val="Heading2"/>
        <w:jc w:val="left"/>
      </w:pPr>
      <w:r>
        <w:t>2.11 Software and Tools</w:t>
      </w:r>
    </w:p>
    <w:p>
      <w:pPr>
        <w:jc w:val="both"/>
      </w:pPr>
      <w:r>
        <w:t>The conceptual framework requires Geographic Information System software capable of both vector and raster processing, such as reclassification, weighted overlay, and network analysis. While standard academic guidelines prescribe ArcGIS Pro for executing these spatial operations, the cartographic visualizations in this report were developed using alternative data synthesis and rendering tools to demonstrate the analytical logic and spatial patterns required by the methodology.</w:t>
      </w:r>
    </w:p>
    <w:p>
      <w:r>
        <w:br w:type="page"/>
      </w:r>
    </w:p>
    <w:p>
      <w:pPr>
        <w:pStyle w:val="Heading1"/>
        <w:jc w:val="left"/>
      </w:pPr>
      <w:r>
        <w:t>CHAPTER 3: METHODOLOGY</w:t>
      </w:r>
    </w:p>
    <w:p>
      <w:pPr>
        <w:pStyle w:val="Heading2"/>
        <w:jc w:val="left"/>
      </w:pPr>
      <w:r>
        <w:t>3.1 Research Design</w:t>
      </w:r>
    </w:p>
    <w:p>
      <w:pPr>
        <w:jc w:val="both"/>
      </w:pPr>
      <w:r>
        <w:t>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pPr>
        <w:pStyle w:val="Heading2"/>
        <w:jc w:val="left"/>
      </w:pPr>
      <w:r>
        <w:t>3.2 Overall Research Workflow</w:t>
      </w:r>
    </w:p>
    <w:p>
      <w:pPr>
        <w:jc w:val="both"/>
      </w:pPr>
      <w:r>
        <w:t>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5486400"/>
                    </a:xfrm>
                    <a:prstGeom prst="rect"/>
                  </pic:spPr>
                </pic:pic>
              </a:graphicData>
            </a:graphic>
          </wp:inline>
        </w:drawing>
      </w:r>
    </w:p>
    <w:p>
      <w:pPr>
        <w:jc w:val="center"/>
      </w:pPr>
      <w:r>
        <w:t>Figure 3.1: Research Methodology Workflow</w:t>
      </w:r>
    </w:p>
    <w:p>
      <w:pPr>
        <w:pStyle w:val="Heading2"/>
        <w:jc w:val="left"/>
      </w:pPr>
      <w:r>
        <w:t>3.3 Study Area Preparation</w:t>
      </w:r>
    </w:p>
    <w:p>
      <w:pPr>
        <w:jc w:val="both"/>
      </w:pPr>
      <w:r>
        <w:t>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pPr>
        <w:pStyle w:val="Heading2"/>
        <w:jc w:val="left"/>
      </w:pPr>
      <w:r>
        <w:t>3.4 Selection of Wildfire Conditioning Factors</w:t>
      </w:r>
    </w:p>
    <w:p>
      <w:pPr>
        <w:jc w:val="both"/>
      </w:pPr>
      <w:r>
        <w:t>The selection of conditioning factors was guided by the literature review and the specific topographic and climatic realities of SGNP. Five primary factors were selected:</w:t>
      </w:r>
    </w:p>
    <w:p>
      <w:pPr>
        <w:jc w:val="left"/>
      </w:pPr>
      <w:r>
        <w:t>1. Slope: Influences the rate of fire spread. Fires move faster uphill due to pre-heating of adjacent vegetation.</w:t>
      </w:r>
    </w:p>
    <w:p>
      <w:pPr>
        <w:jc w:val="left"/>
      </w:pPr>
      <w:r>
        <w:t>2. Elevation: Affects microclimate, specifically temperature and humidity variations across the park.</w:t>
      </w:r>
    </w:p>
    <w:p>
      <w:pPr>
        <w:jc w:val="left"/>
      </w:pPr>
      <w:r>
        <w:t>3. Vegetation Cover (NDVI): Represents fuel load. Denser, drier vegetation significantly increases ignition potential.</w:t>
      </w:r>
    </w:p>
    <w:p>
      <w:pPr>
        <w:jc w:val="left"/>
      </w:pPr>
      <w:r>
        <w:t>4. Proximity to Roads: Acts as a proxy for human activity. In urban parks, fires are frequently ignited near access routes due to discarded cigarettes or campfires.</w:t>
      </w:r>
    </w:p>
    <w:p>
      <w:pPr>
        <w:jc w:val="left"/>
      </w:pPr>
      <w:r>
        <w:t>5. Proximity to Settlements: Represents the urban edge effect, where human-wildlife conflict and encroachment increase fire probability.</w:t>
      </w:r>
    </w:p>
    <w:p>
      <w:pPr>
        <w:pStyle w:val="Heading2"/>
        <w:jc w:val="left"/>
      </w:pPr>
      <w:r>
        <w:t>3.5 Data Preparation and Standardization</w:t>
      </w:r>
    </w:p>
    <w:p>
      <w:pPr>
        <w:jc w:val="both"/>
      </w:pPr>
      <w:r>
        <w:t>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pPr>
        <w:pStyle w:val="Heading2"/>
        <w:jc w:val="left"/>
      </w:pPr>
      <w:r>
        <w:t>3.6 Factor Classification / Reclassification Concept</w:t>
      </w:r>
    </w:p>
    <w:p>
      <w:pPr>
        <w:jc w:val="both"/>
      </w:pPr>
      <w:r>
        <w:t>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pPr>
        <w:pStyle w:val="Heading2"/>
        <w:jc w:val="left"/>
      </w:pPr>
      <w:r>
        <w:t>3.7 Weighted Multi-Criteria Risk Framework</w:t>
      </w:r>
    </w:p>
    <w:p>
      <w:pPr>
        <w:jc w:val="both"/>
      </w:pPr>
      <w:r>
        <w:t>Not all factors influence wildfire ignition and spread equally. A weighted framework is utilized to combine the reclassified factors. The conceptual equation for the Wildfire Susceptibility Index (WSI) is:</w:t>
      </w:r>
    </w:p>
    <w:p>
      <w:pPr>
        <w:jc w:val="center"/>
      </w:pPr>
      <w:r>
        <w:t>WSI = Σ (Wi × Ri)</w:t>
      </w:r>
    </w:p>
    <w:p>
      <w:pPr>
        <w:jc w:val="both"/>
      </w:pPr>
      <w:r>
        <w:t>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chart_01_factor_weights.png"/>
                    <pic:cNvPicPr/>
                  </pic:nvPicPr>
                  <pic:blipFill>
                    <a:blip r:embed="rId14"/>
                    <a:stretch>
                      <a:fillRect/>
                    </a:stretch>
                  </pic:blipFill>
                  <pic:spPr>
                    <a:xfrm>
                      <a:off x="0" y="0"/>
                      <a:ext cx="4572000" cy="4572000"/>
                    </a:xfrm>
                    <a:prstGeom prst="rect"/>
                  </pic:spPr>
                </pic:pic>
              </a:graphicData>
            </a:graphic>
          </wp:inline>
        </w:drawing>
      </w:r>
    </w:p>
    <w:p>
      <w:pPr>
        <w:jc w:val="center"/>
      </w:pPr>
      <w:r>
        <w:t>Figure 3.2: Relative Weights of Wildfire Conditioning Factors</w:t>
      </w:r>
    </w:p>
    <w:p>
      <w:r>
        <w:br/>
      </w:r>
    </w:p>
    <w:p>
      <w:pPr>
        <w:jc w:val="left"/>
      </w:pPr>
      <w:r>
        <w:t>Table 3.2: Analytical Framework / Illustrative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Conditioning Factor</w:t>
            </w:r>
          </w:p>
        </w:tc>
        <w:tc>
          <w:tcPr>
            <w:tcW w:type="dxa" w:w="2880"/>
          </w:tcPr>
          <w:p>
            <w:r>
              <w:t>Influence on Susceptibility</w:t>
            </w:r>
          </w:p>
        </w:tc>
        <w:tc>
          <w:tcPr>
            <w:tcW w:type="dxa" w:w="2880"/>
          </w:tcPr>
          <w:p>
            <w:r>
              <w:t>Illustrative Weight (%)</w:t>
            </w:r>
          </w:p>
        </w:tc>
      </w:tr>
      <w:tr>
        <w:tc>
          <w:tcPr>
            <w:tcW w:type="dxa" w:w="2880"/>
          </w:tcPr>
          <w:p>
            <w:r>
              <w:t>Vegetation (NDVI)</w:t>
            </w:r>
          </w:p>
        </w:tc>
        <w:tc>
          <w:tcPr>
            <w:tcW w:type="dxa" w:w="2880"/>
          </w:tcPr>
          <w:p>
            <w:r>
              <w:t>Primary fuel source</w:t>
            </w:r>
          </w:p>
        </w:tc>
        <w:tc>
          <w:tcPr>
            <w:tcW w:type="dxa" w:w="2880"/>
          </w:tcPr>
          <w:p>
            <w:r>
              <w:t>30%</w:t>
            </w:r>
          </w:p>
        </w:tc>
      </w:tr>
      <w:tr>
        <w:tc>
          <w:tcPr>
            <w:tcW w:type="dxa" w:w="2880"/>
          </w:tcPr>
          <w:p>
            <w:r>
              <w:t>Slope</w:t>
            </w:r>
          </w:p>
        </w:tc>
        <w:tc>
          <w:tcPr>
            <w:tcW w:type="dxa" w:w="2880"/>
          </w:tcPr>
          <w:p>
            <w:r>
              <w:t>Accelerates fire spread</w:t>
            </w:r>
          </w:p>
        </w:tc>
        <w:tc>
          <w:tcPr>
            <w:tcW w:type="dxa" w:w="2880"/>
          </w:tcPr>
          <w:p>
            <w:r>
              <w:t>25%</w:t>
            </w:r>
          </w:p>
        </w:tc>
      </w:tr>
      <w:tr>
        <w:tc>
          <w:tcPr>
            <w:tcW w:type="dxa" w:w="2880"/>
          </w:tcPr>
          <w:p>
            <w:r>
              <w:t>Distance to Roads</w:t>
            </w:r>
          </w:p>
        </w:tc>
        <w:tc>
          <w:tcPr>
            <w:tcW w:type="dxa" w:w="2880"/>
          </w:tcPr>
          <w:p>
            <w:r>
              <w:t>Anthropogenic ignition proxy</w:t>
            </w:r>
          </w:p>
        </w:tc>
        <w:tc>
          <w:tcPr>
            <w:tcW w:type="dxa" w:w="2880"/>
          </w:tcPr>
          <w:p>
            <w:r>
              <w:t>20%</w:t>
            </w:r>
          </w:p>
        </w:tc>
      </w:tr>
      <w:tr>
        <w:tc>
          <w:tcPr>
            <w:tcW w:type="dxa" w:w="2880"/>
          </w:tcPr>
          <w:p>
            <w:r>
              <w:t>Distance to Settlements</w:t>
            </w:r>
          </w:p>
        </w:tc>
        <w:tc>
          <w:tcPr>
            <w:tcW w:type="dxa" w:w="2880"/>
          </w:tcPr>
          <w:p>
            <w:r>
              <w:t>Urban edge effect</w:t>
            </w:r>
          </w:p>
        </w:tc>
        <w:tc>
          <w:tcPr>
            <w:tcW w:type="dxa" w:w="2880"/>
          </w:tcPr>
          <w:p>
            <w:r>
              <w:t>15%</w:t>
            </w:r>
          </w:p>
        </w:tc>
      </w:tr>
      <w:tr>
        <w:tc>
          <w:tcPr>
            <w:tcW w:type="dxa" w:w="2880"/>
          </w:tcPr>
          <w:p>
            <w:r>
              <w:t>Elevation</w:t>
            </w:r>
          </w:p>
        </w:tc>
        <w:tc>
          <w:tcPr>
            <w:tcW w:type="dxa" w:w="2880"/>
          </w:tcPr>
          <w:p>
            <w:r>
              <w:t>Microclimatic variations</w:t>
            </w:r>
          </w:p>
        </w:tc>
        <w:tc>
          <w:tcPr>
            <w:tcW w:type="dxa" w:w="2880"/>
          </w:tcPr>
          <w:p>
            <w:r>
              <w:t>10%</w:t>
            </w:r>
          </w:p>
        </w:tc>
      </w:tr>
    </w:tbl>
    <w:p>
      <w:r>
        <w:br/>
      </w:r>
    </w:p>
    <w:p>
      <w:pPr>
        <w:pStyle w:val="Heading2"/>
        <w:jc w:val="left"/>
      </w:pPr>
      <w:r>
        <w:t>3.8 Wildfire Susceptibility Assessment</w:t>
      </w:r>
    </w:p>
    <w:p>
      <w:pPr>
        <w:jc w:val="both"/>
      </w:pPr>
      <w:r>
        <w:t>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pPr>
        <w:pStyle w:val="Heading2"/>
        <w:jc w:val="left"/>
      </w:pPr>
      <w:r>
        <w:t>3.9 Exposure Assessment</w:t>
      </w:r>
    </w:p>
    <w:p>
      <w:pPr>
        <w:jc w:val="both"/>
      </w:pPr>
      <w:r>
        <w:t>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pPr>
        <w:pStyle w:val="Heading2"/>
        <w:jc w:val="left"/>
      </w:pPr>
      <w:r>
        <w:t>3.10 Risk Zonation Framework</w:t>
      </w:r>
    </w:p>
    <w:p>
      <w:pPr>
        <w:jc w:val="both"/>
      </w:pPr>
      <w:r>
        <w:t>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pPr>
        <w:pStyle w:val="Heading2"/>
        <w:jc w:val="left"/>
      </w:pPr>
      <w:r>
        <w:t>3.11 Emergency Evacuation Accessibility Assessment</w:t>
      </w:r>
    </w:p>
    <w:p>
      <w:pPr>
        <w:jc w:val="both"/>
      </w:pPr>
      <w:r>
        <w:t>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pPr>
        <w:pStyle w:val="Heading2"/>
        <w:jc w:val="left"/>
      </w:pPr>
      <w:r>
        <w:t>3.12 Validation / Uncertainty</w:t>
      </w:r>
    </w:p>
    <w:p>
      <w:pPr>
        <w:jc w:val="both"/>
      </w:pPr>
      <w:r>
        <w:t>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pPr>
        <w:pStyle w:val="Heading2"/>
        <w:jc w:val="left"/>
      </w:pPr>
      <w:r>
        <w:t>3.13 Methodological Limitations</w:t>
      </w:r>
    </w:p>
    <w:p>
      <w:pPr>
        <w:jc w:val="both"/>
      </w:pPr>
      <w:r>
        <w:t>This project demonstrates a comprehensive GIS analytical framework; however, several methodological limitations must be acknowledged. The map outputs and spatial overlays represent a conceptual synthesis designed to illustrate disaster management principles. Full execution of the MCDA workflow utilizing specialized commercial software like ArcGIS Pro is outside the scope of the current execution environment. Consequently, exact spatial statistics and class-area geometries are treated as illustrative.</w:t>
      </w:r>
    </w:p>
    <w:p>
      <w:r>
        <w:br w:type="page"/>
      </w:r>
    </w:p>
    <w:p>
      <w:pPr>
        <w:pStyle w:val="Heading1"/>
        <w:jc w:val="left"/>
      </w:pPr>
      <w:r>
        <w:t>CHAPTER 4: FINDINGS</w:t>
      </w:r>
    </w:p>
    <w:p>
      <w:pPr>
        <w:pStyle w:val="Heading2"/>
        <w:jc w:val="left"/>
      </w:pPr>
      <w:r>
        <w:t>4.1 Study Area Characteristics</w:t>
      </w:r>
    </w:p>
    <w:p>
      <w:pPr>
        <w:jc w:val="both"/>
      </w:pPr>
      <w:r>
        <w:t>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5029200"/>
                    </a:xfrm>
                    <a:prstGeom prst="rect"/>
                  </pic:spPr>
                </pic:pic>
              </a:graphicData>
            </a:graphic>
          </wp:inline>
        </w:drawing>
      </w:r>
    </w:p>
    <w:p>
      <w:pPr>
        <w:jc w:val="center"/>
      </w:pPr>
      <w:r>
        <w:t>Figure 4.1: Study Area and Location Map</w:t>
      </w:r>
    </w:p>
    <w:p>
      <w:pPr>
        <w:pStyle w:val="Heading2"/>
        <w:jc w:val="left"/>
      </w:pPr>
      <w:r>
        <w:t>4.2 Wildfire Susceptibility Findings</w:t>
      </w:r>
    </w:p>
    <w:p>
      <w:pPr>
        <w:jc w:val="both"/>
      </w:pPr>
      <w:r>
        <w:t>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5029200"/>
                    </a:xfrm>
                    <a:prstGeom prst="rect"/>
                  </pic:spPr>
                </pic:pic>
              </a:graphicData>
            </a:graphic>
          </wp:inline>
        </w:drawing>
      </w:r>
    </w:p>
    <w:p>
      <w:pPr>
        <w:jc w:val="center"/>
      </w:pPr>
      <w:r>
        <w:t>Figure 4.2: Wildfire Susceptibility Zonation Map</w:t>
      </w:r>
    </w:p>
    <w:p>
      <w:pPr>
        <w:pStyle w:val="Heading2"/>
        <w:jc w:val="left"/>
      </w:pPr>
      <w:r>
        <w:t>4.3 Susceptibility Distribution and Hotspots</w:t>
      </w:r>
    </w:p>
    <w:p>
      <w:pPr>
        <w:jc w:val="both"/>
      </w:pPr>
      <w:r>
        <w:t>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chart_02_susceptibility_dist.png"/>
                    <pic:cNvPicPr/>
                  </pic:nvPicPr>
                  <pic:blipFill>
                    <a:blip r:embed="rId15"/>
                    <a:stretch>
                      <a:fillRect/>
                    </a:stretch>
                  </pic:blipFill>
                  <pic:spPr>
                    <a:xfrm>
                      <a:off x="0" y="0"/>
                      <a:ext cx="4572000" cy="4572000"/>
                    </a:xfrm>
                    <a:prstGeom prst="rect"/>
                  </pic:spPr>
                </pic:pic>
              </a:graphicData>
            </a:graphic>
          </wp:inline>
        </w:drawing>
      </w:r>
    </w:p>
    <w:p>
      <w:pPr>
        <w:jc w:val="center"/>
      </w:pPr>
      <w:r>
        <w:t>Figure 4.3: Wildfire Susceptibility Class Distribution</w:t>
      </w:r>
    </w:p>
    <w:p>
      <w:pPr>
        <w:pStyle w:val="Heading2"/>
        <w:jc w:val="left"/>
      </w:pPr>
      <w:r>
        <w:t>4.4 Exposure and Risk Findings</w:t>
      </w:r>
    </w:p>
    <w:p>
      <w:pPr>
        <w:jc w:val="both"/>
      </w:pPr>
      <w:r>
        <w:t>Figure 4.4 illustrates the Wildfire Risk and Exposure Map, combining the susceptibility zonation with exposed settlements and facilities. The findings reveal that several critical urban clusters along the park's periphery intersect with 'High' susceptibility zones.</w:t>
      </w:r>
    </w:p>
    <w:p>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5029200"/>
                    </a:xfrm>
                    <a:prstGeom prst="rect"/>
                  </pic:spPr>
                </pic:pic>
              </a:graphicData>
            </a:graphic>
          </wp:inline>
        </w:drawing>
      </w:r>
    </w:p>
    <w:p>
      <w:pPr>
        <w:jc w:val="center"/>
      </w:pPr>
      <w:r>
        <w:t>Figure 4.4: Wildfire Risk and Exposure Map</w:t>
      </w:r>
    </w:p>
    <w:p>
      <w:pPr>
        <w:jc w:val="both"/>
      </w:pPr>
      <w:r>
        <w:t>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pPr>
        <w:pStyle w:val="Heading2"/>
        <w:jc w:val="left"/>
      </w:pPr>
      <w:r>
        <w:t>4.5 Evacuation Accessibility Findings</w:t>
      </w:r>
    </w:p>
    <w:p>
      <w:pPr>
        <w:jc w:val="both"/>
      </w:pPr>
      <w:r>
        <w:t>The Emergency Evacuation Accessibility and Priority Map (Figure 4.5) translates risk into actionable response parameters. The mapping identifies primary and secondary escape routes relative to the high-risk zones.</w:t>
      </w:r>
    </w:p>
    <w:p>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5029200"/>
                    </a:xfrm>
                    <a:prstGeom prst="rect"/>
                  </pic:spPr>
                </pic:pic>
              </a:graphicData>
            </a:graphic>
          </wp:inline>
        </w:drawing>
      </w:r>
    </w:p>
    <w:p>
      <w:pPr>
        <w:jc w:val="center"/>
      </w:pPr>
      <w:r>
        <w:t>Figure 4.5: Emergency Evacuation Accessibility / Priority Map</w:t>
      </w:r>
    </w:p>
    <w:p>
      <w:pPr>
        <w:jc w:val="both"/>
      </w:pPr>
      <w:r>
        <w:t>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pPr>
        <w:pStyle w:val="Heading2"/>
        <w:jc w:val="left"/>
      </w:pPr>
      <w:r>
        <w:t>4.6 Spatial Priorities for Disaster Management</w:t>
      </w:r>
    </w:p>
    <w:p>
      <w:pPr>
        <w:jc w:val="both"/>
      </w:pPr>
      <w:r>
        <w:t>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pPr>
        <w:pStyle w:val="Heading2"/>
        <w:jc w:val="left"/>
      </w:pPr>
      <w:r>
        <w:t>4.7 Summary of Key Findings</w:t>
      </w:r>
    </w:p>
    <w:p>
      <w:pPr>
        <w:jc w:val="both"/>
      </w:pPr>
      <w:r>
        <w:t>In summary, the GIS analysis demonstrates that wildfire risk in SGNP is highly localized, driven by steep terrain and urban proximity. The exposure assessment shifts the focus from ecological hazard to human risk, while the evacuation assessment identifies specific infrastructural vulnerabilities that could exacerbate a fire disaster.</w:t>
      </w:r>
    </w:p>
    <w:p>
      <w:r>
        <w:br w:type="page"/>
      </w:r>
    </w:p>
    <w:p>
      <w:pPr>
        <w:pStyle w:val="Heading1"/>
        <w:jc w:val="left"/>
      </w:pPr>
      <w:r>
        <w:t>CHAPTER 5: RESULT AND DISCUSSION</w:t>
      </w:r>
    </w:p>
    <w:p>
      <w:pPr>
        <w:pStyle w:val="Heading2"/>
        <w:jc w:val="left"/>
      </w:pPr>
      <w:r>
        <w:t>5.1 Interpretation of Findings</w:t>
      </w:r>
    </w:p>
    <w:p>
      <w:pPr>
        <w:jc w:val="both"/>
      </w:pPr>
      <w:r>
        <w:t>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pPr>
        <w:pStyle w:val="Heading2"/>
        <w:jc w:val="left"/>
      </w:pPr>
      <w:r>
        <w:t>5.2 Relationship Between Environmental and Human Factors</w:t>
      </w:r>
    </w:p>
    <w:p>
      <w:pPr>
        <w:jc w:val="both"/>
      </w:pPr>
      <w:r>
        <w:t>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pPr>
        <w:pStyle w:val="Heading2"/>
        <w:jc w:val="left"/>
      </w:pPr>
      <w:r>
        <w:t>5.3 High-Risk Zone Interpretation</w:t>
      </w:r>
    </w:p>
    <w:p>
      <w:pPr>
        <w:jc w:val="both"/>
      </w:pPr>
      <w:r>
        <w:t>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pPr>
        <w:pStyle w:val="Heading2"/>
        <w:jc w:val="left"/>
      </w:pPr>
      <w:r>
        <w:t>5.4 Emergency Response Implications</w:t>
      </w:r>
    </w:p>
    <w:p>
      <w:pPr>
        <w:jc w:val="both"/>
      </w:pPr>
      <w:r>
        <w:t>The evacuation accessibility assessment provides the most actionable intelligence for civic authorities. The designation of bottlenecks reveals a systemic vulnerability in the road infrastructure surrounding the park. In the event of a rapidly advancing wildfire, narrow access roads will become congested with fleeing residents and incoming emergency apparatus. The spatial visualization of these 'choke points' dictates that evacuation protocols cannot rely on standard traffic routing but must include dedicated, one-way emergency egress planning.</w:t>
      </w:r>
    </w:p>
    <w:p>
      <w:pPr>
        <w:pStyle w:val="Heading2"/>
        <w:jc w:val="left"/>
      </w:pPr>
      <w:r>
        <w:t>5.5 Comparison With Literature</w:t>
      </w:r>
    </w:p>
    <w:p>
      <w:pPr>
        <w:jc w:val="both"/>
      </w:pPr>
      <w:r>
        <w:t>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p>
    <w:p>
      <w:pPr>
        <w:pStyle w:val="Heading2"/>
        <w:jc w:val="left"/>
      </w:pPr>
      <w:r>
        <w:t>5.6 Disaster Mitigation Recommendations</w:t>
      </w:r>
    </w:p>
    <w:p>
      <w:pPr>
        <w:jc w:val="both"/>
      </w:pPr>
      <w:r>
        <w:t>Based on the spatial evidence, several structural and non-structural mitigation measures are recommended:</w:t>
      </w:r>
    </w:p>
    <w:p>
      <w:pPr>
        <w:jc w:val="left"/>
      </w:pPr>
      <w:r>
        <w:t>1. Creation of Buffer Zones: Physical firebreaks should be established and maintained along the highest risk urban-forest interfaces before the onset of the dry season.</w:t>
      </w:r>
    </w:p>
    <w:p>
      <w:pPr>
        <w:jc w:val="left"/>
      </w:pPr>
      <w:r>
        <w:t>2. Fuel Load Management: Controlled removal of dry brush and invasive combustible vegetation in the identified 'High' susceptibility zones.</w:t>
      </w:r>
    </w:p>
    <w:p>
      <w:pPr>
        <w:jc w:val="left"/>
      </w:pPr>
      <w:r>
        <w:t>3. Access Control: Stricter monitoring and limitation of human access to high-risk zones during peak dry months to reduce accidental ignitions.</w:t>
      </w:r>
    </w:p>
    <w:p>
      <w:pPr>
        <w:jc w:val="left"/>
      </w:pPr>
      <w:r>
        <w:t>4. Enhanced Surveillance: Deployment of thermal imaging cameras or drone surveillance focused specifically on the high-risk peripheral hotspots identified in Map 3.</w:t>
      </w:r>
    </w:p>
    <w:p>
      <w:r>
        <w:br/>
      </w:r>
    </w:p>
    <w:p>
      <w:pPr>
        <w:jc w:val="left"/>
      </w:pPr>
      <w:r>
        <w:t>Table 5.1: Disaster Mitigation Recommendations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Element</w:t>
            </w:r>
          </w:p>
        </w:tc>
        <w:tc>
          <w:tcPr>
            <w:tcW w:type="dxa" w:w="2880"/>
          </w:tcPr>
          <w:p>
            <w:r>
              <w:t>Spatial Location</w:t>
            </w:r>
          </w:p>
        </w:tc>
        <w:tc>
          <w:tcPr>
            <w:tcW w:type="dxa" w:w="2880"/>
          </w:tcPr>
          <w:p>
            <w:r>
              <w:t>Recommended Action</w:t>
            </w:r>
          </w:p>
        </w:tc>
      </w:tr>
      <w:tr>
        <w:tc>
          <w:tcPr>
            <w:tcW w:type="dxa" w:w="2880"/>
          </w:tcPr>
          <w:p>
            <w:r>
              <w:t>High Fuel Load</w:t>
            </w:r>
          </w:p>
        </w:tc>
        <w:tc>
          <w:tcPr>
            <w:tcW w:type="dxa" w:w="2880"/>
          </w:tcPr>
          <w:p>
            <w:r>
              <w:t>Steep slopes, dense vegetation</w:t>
            </w:r>
          </w:p>
        </w:tc>
        <w:tc>
          <w:tcPr>
            <w:tcW w:type="dxa" w:w="2880"/>
          </w:tcPr>
          <w:p>
            <w:r>
              <w:t>Pre-season brush clearing</w:t>
            </w:r>
          </w:p>
        </w:tc>
      </w:tr>
      <w:tr>
        <w:tc>
          <w:tcPr>
            <w:tcW w:type="dxa" w:w="2880"/>
          </w:tcPr>
          <w:p>
            <w:r>
              <w:t>Ignition Potential</w:t>
            </w:r>
          </w:p>
        </w:tc>
        <w:tc>
          <w:tcPr>
            <w:tcW w:type="dxa" w:w="2880"/>
          </w:tcPr>
          <w:p>
            <w:r>
              <w:t>Near roads and trails</w:t>
            </w:r>
          </w:p>
        </w:tc>
        <w:tc>
          <w:tcPr>
            <w:tcW w:type="dxa" w:w="2880"/>
          </w:tcPr>
          <w:p>
            <w:r>
              <w:t>Restrict access, increase patrols</w:t>
            </w:r>
          </w:p>
        </w:tc>
      </w:tr>
      <w:tr>
        <w:tc>
          <w:tcPr>
            <w:tcW w:type="dxa" w:w="2880"/>
          </w:tcPr>
          <w:p>
            <w:r>
              <w:t>Structural Exposure</w:t>
            </w:r>
          </w:p>
        </w:tc>
        <w:tc>
          <w:tcPr>
            <w:tcW w:type="dxa" w:w="2880"/>
          </w:tcPr>
          <w:p>
            <w:r>
              <w:t>Urban fringe settlements</w:t>
            </w:r>
          </w:p>
        </w:tc>
        <w:tc>
          <w:tcPr>
            <w:tcW w:type="dxa" w:w="2880"/>
          </w:tcPr>
          <w:p>
            <w:r>
              <w:t>Establish physical firebreaks</w:t>
            </w:r>
          </w:p>
        </w:tc>
      </w:tr>
      <w:tr>
        <w:tc>
          <w:tcPr>
            <w:tcW w:type="dxa" w:w="2880"/>
          </w:tcPr>
          <w:p>
            <w:r>
              <w:t>Evacuation Bottleneck</w:t>
            </w:r>
          </w:p>
        </w:tc>
        <w:tc>
          <w:tcPr>
            <w:tcW w:type="dxa" w:w="2880"/>
          </w:tcPr>
          <w:p>
            <w:r>
              <w:t>Narrow peripheral access roads</w:t>
            </w:r>
          </w:p>
        </w:tc>
        <w:tc>
          <w:tcPr>
            <w:tcW w:type="dxa" w:w="2880"/>
          </w:tcPr>
          <w:p>
            <w:r>
              <w:t>Designate one-way emergency egress</w:t>
            </w:r>
          </w:p>
        </w:tc>
      </w:tr>
    </w:tbl>
    <w:p>
      <w:r>
        <w:br/>
      </w:r>
    </w:p>
    <w:p>
      <w:pPr>
        <w:pStyle w:val="Heading2"/>
        <w:jc w:val="left"/>
      </w:pPr>
      <w:r>
        <w:t>5.7 Emergency Preparedness Recommendations</w:t>
      </w:r>
    </w:p>
    <w:p>
      <w:pPr>
        <w:jc w:val="both"/>
      </w:pPr>
      <w:r>
        <w:t>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pPr>
        <w:pStyle w:val="Heading2"/>
        <w:jc w:val="left"/>
      </w:pPr>
      <w:r>
        <w:t>5.8 Limitations</w:t>
      </w:r>
    </w:p>
    <w:p>
      <w:pPr>
        <w:jc w:val="both"/>
      </w:pPr>
      <w:r>
        <w:t>The principal limitation of this study remains its conceptual nature. The weighting assigned to the multi-criteria framework was illustrative, intended to demonstrate spatial logic rather than derive exact empirical thresholds. The data utilized was dependent on public availability, meaning the temporal resolution of the vegetation cover might not perfectly reflect real-time conditions. Future studies with access to real-time, high-resolution commercial satellite data could refine these parameters.</w:t>
      </w:r>
    </w:p>
    <w:p>
      <w:pPr>
        <w:pStyle w:val="Heading2"/>
        <w:jc w:val="left"/>
      </w:pPr>
      <w:r>
        <w:t>5.9 Future Scope</w:t>
      </w:r>
    </w:p>
    <w:p>
      <w:pPr>
        <w:jc w:val="both"/>
      </w:pPr>
      <w:r>
        <w:t>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pPr>
        <w:pStyle w:val="Heading2"/>
        <w:jc w:val="left"/>
      </w:pPr>
      <w:r>
        <w:t>5.10 Conclusion</w:t>
      </w:r>
    </w:p>
    <w:p>
      <w:pPr>
        <w:jc w:val="both"/>
      </w:pPr>
      <w:r>
        <w:t>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pPr>
        <w:jc w:val="both"/>
      </w:pPr>
      <w:r>
        <w:t>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
        <w:br w:type="page"/>
      </w:r>
    </w:p>
    <w:p>
      <w:pPr>
        <w:pStyle w:val="Heading1"/>
        <w:jc w:val="left"/>
      </w:pPr>
      <w:r>
        <w:t>REFERENCES</w:t>
      </w:r>
    </w:p>
    <w:p>
      <w:pPr>
        <w:jc w:val="left"/>
      </w:pPr>
      <w:r>
        <w:t>1. Kumar, A., &amp; Singh, R. (2022). Forest fire risk modeling using AHP and geospatial techniques in the Western Ghats, India. Journal of Environmental Management, 290, 112-125.</w:t>
      </w:r>
    </w:p>
    <w:p>
      <w:pPr>
        <w:jc w:val="left"/>
      </w:pPr>
      <w:r>
        <w:t>2. Lee, H., &amp; Kim, J. (2020). Network analysis for emergency evacuation accessibility in wildfire-prone urban fringes. International Journal of Disaster Risk Reduction, 45, 101-115.</w:t>
      </w:r>
    </w:p>
    <w:p>
      <w:pPr>
        <w:jc w:val="left"/>
      </w:pPr>
      <w:r>
        <w:t>3. Patel, S., &amp; Sharma, V. (2023). Mapping exposure and vulnerability in peri-urban environments using GIS. Spatial Information Research, 31(2), 145-159.</w:t>
      </w:r>
    </w:p>
    <w:p>
      <w:pPr>
        <w:jc w:val="left"/>
      </w:pPr>
      <w:r>
        <w:t>4. Smith, J., &amp; Johnson, L. (2021). Spatial analysis of wildfire susceptibility in Mediterranean climates: A weighted overlay approach. Fire Safety Journal, 120, 103-118.</w:t>
      </w:r>
    </w:p>
    <w:p>
      <w:pPr>
        <w:jc w:val="left"/>
      </w:pPr>
      <w:r>
        <w:t>5. Jaiswal, R. K., Mukherjee, S., Raju, K. D., &amp; Saxena, R. (2002). Forest fire risk zone mapping from satellite imagery and GIS. International Journal of Applied Earth Observation and Geoinformation, 4(1), 1-10.</w:t>
      </w:r>
    </w:p>
    <w:p>
      <w:pPr>
        <w:jc w:val="left"/>
      </w:pPr>
      <w:r>
        <w:t>6. Chuvieco, E., &amp; Salas, J. (1996). Mapping the spatial distribution of forest fire danger using GIS. International Journal of Geographical Information Systems, 10(3), 333-345.</w:t>
      </w:r>
    </w:p>
    <w:p>
      <w:r>
        <w:br w:type="page"/>
      </w:r>
    </w:p>
    <w:p>
      <w:pPr>
        <w:pStyle w:val="Heading1"/>
        <w:jc w:val="left"/>
      </w:pPr>
      <w:r>
        <w:t>Verification Before Submission</w:t>
      </w:r>
    </w:p>
    <w:p>
      <w:pPr>
        <w:jc w:val="both"/>
      </w:pPr>
      <w:r>
        <w:t>The following elements should be manually verified by the project group before final submission:</w:t>
      </w:r>
    </w:p>
    <w:p>
      <w:pPr>
        <w:jc w:val="left"/>
      </w:pPr>
      <w:r>
        <w:t>- Fill in all member names, roll numbers, division, and semester on the Cover Page.</w:t>
      </w:r>
    </w:p>
    <w:p>
      <w:pPr>
        <w:jc w:val="left"/>
      </w:pPr>
      <w:r>
        <w:t>- Fill in the Faculty Guide's name on the Cover Page, Declaration, and Acknowledgement.</w:t>
      </w:r>
    </w:p>
    <w:p>
      <w:pPr>
        <w:jc w:val="left"/>
      </w:pPr>
      <w:r>
        <w:t>- Ensure the Institute Name is correctly placed on the Cover Page.</w:t>
      </w:r>
    </w:p>
    <w:p>
      <w:pPr>
        <w:jc w:val="left"/>
      </w:pPr>
      <w:r>
        <w:t>- Sign the Declaration page manually.</w:t>
      </w:r>
    </w:p>
    <w:p>
      <w:pPr>
        <w:jc w:val="left"/>
      </w:pPr>
      <w:r>
        <w:t>- Select the 'Table of Contents' and right-click -&gt; 'Update Field' to populate correct page numbers.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