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" cy="799447"/>
            <wp:docPr id="1" name="Picture 1" descr="Эмблема СПбГТИ(ТУ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itute-embl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" cy="799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МИНОБРНАУКИ РОССИИ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«Санкт-Петербургский государственный технологический институт (технический университет)»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СПбГТИ(ТУ)</w:t>
      </w:r>
    </w:p>
    <w:p/>
    <w:p>
      <w:pPr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ОТЧЁТ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ПО УЧЕБНОЙ ПРАКТИКЕ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«Разработка информационно-поисковой системы для выбора теплообменных аппаратов»</w:t>
      </w:r>
    </w:p>
    <w:p/>
    <w:tbl>
      <w:tblPr>
        <w:tblStyle w:val="TableGrid"/>
        <w:tblW w:type="dxa" w:w="969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3182"/>
        <w:gridCol w:w="6508"/>
      </w:tblGrid>
      <w:tr>
        <w:tc>
          <w:tcPr>
            <w:tcW w:type="dxa" w:w="31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sz w:val="24"/>
              </w:rPr>
              <w:t>Направление подготовки</w:t>
            </w:r>
          </w:p>
        </w:tc>
        <w:tc>
          <w:tcPr>
            <w:tcW w:type="dxa" w:w="65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sz w:val="24"/>
              </w:rPr>
              <w:t>09.03.01 — Информатика и вычислительная техника</w:t>
            </w:r>
          </w:p>
        </w:tc>
      </w:tr>
      <w:tr>
        <w:tc>
          <w:tcPr>
            <w:tcW w:type="dxa" w:w="31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sz w:val="24"/>
              </w:rPr>
              <w:t>Направленность</w:t>
            </w:r>
          </w:p>
        </w:tc>
        <w:tc>
          <w:tcPr>
            <w:tcW w:type="dxa" w:w="65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sz w:val="24"/>
              </w:rPr>
              <w:t>Системы автоматизированного проектирования</w:t>
            </w:r>
          </w:p>
        </w:tc>
      </w:tr>
      <w:tr>
        <w:tc>
          <w:tcPr>
            <w:tcW w:type="dxa" w:w="31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sz w:val="24"/>
              </w:rPr>
              <w:t>Факультет</w:t>
            </w:r>
          </w:p>
        </w:tc>
        <w:tc>
          <w:tcPr>
            <w:tcW w:type="dxa" w:w="65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sz w:val="24"/>
              </w:rPr>
              <w:t>Информационных технологий и управления</w:t>
            </w:r>
          </w:p>
        </w:tc>
      </w:tr>
      <w:tr>
        <w:tc>
          <w:tcPr>
            <w:tcW w:type="dxa" w:w="31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sz w:val="24"/>
              </w:rPr>
              <w:t>Кафедра</w:t>
            </w:r>
          </w:p>
        </w:tc>
        <w:tc>
          <w:tcPr>
            <w:tcW w:type="dxa" w:w="65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sz w:val="24"/>
              </w:rPr>
              <w:t>Систем автоматизированного проектирования и управления</w:t>
            </w:r>
          </w:p>
        </w:tc>
      </w:tr>
      <w:tr>
        <w:tc>
          <w:tcPr>
            <w:tcW w:type="dxa" w:w="31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sz w:val="24"/>
              </w:rPr>
              <w:t>Студент</w:t>
            </w:r>
          </w:p>
        </w:tc>
        <w:tc>
          <w:tcPr>
            <w:tcW w:type="dxa" w:w="65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sz w:val="24"/>
              </w:rPr>
              <w:t>____________________________________________</w:t>
            </w:r>
          </w:p>
        </w:tc>
      </w:tr>
      <w:tr>
        <w:tc>
          <w:tcPr>
            <w:tcW w:type="dxa" w:w="31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sz w:val="24"/>
              </w:rPr>
              <w:t>Группа</w:t>
            </w:r>
          </w:p>
        </w:tc>
        <w:tc>
          <w:tcPr>
            <w:tcW w:type="dxa" w:w="65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sz w:val="24"/>
              </w:rPr>
              <w:t>____________</w:t>
            </w:r>
          </w:p>
        </w:tc>
      </w:tr>
      <w:tr>
        <w:tc>
          <w:tcPr>
            <w:tcW w:type="dxa" w:w="31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sz w:val="24"/>
              </w:rPr>
              <w:t>Руководитель практики</w:t>
            </w:r>
          </w:p>
        </w:tc>
        <w:tc>
          <w:tcPr>
            <w:tcW w:type="dxa" w:w="65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ind w:firstLine="0"/>
            </w:pPr>
            <w:r/>
            <w:r>
              <w:rPr>
                <w:rFonts w:ascii="Times New Roman" w:hAnsi="Times New Roman" w:eastAsia="Times New Roman" w:cs="Times New Roman"/>
                <w:sz w:val="24"/>
              </w:rPr>
              <w:t>____________________________________________</w:t>
            </w:r>
          </w:p>
        </w:tc>
      </w:tr>
    </w:tbl>
    <w:p/>
    <w:p/>
    <w:p>
      <w:pPr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Санкт-Петербург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2026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ЗАДАНИЕ НА ТЕХНОЛОГИЧЕСКУЮ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(ПРОЕКТНО-ТЕХНОЛОГИЧЕСКУЮ) ПРАКТИКУ</w:t>
      </w:r>
    </w:p>
    <w:tbl>
      <w:tblPr>
        <w:tblStyle w:val="TableGrid"/>
        <w:tblW w:type="dxa" w:w="969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3182"/>
        <w:gridCol w:w="6508"/>
      </w:tblGrid>
      <w:tr>
        <w:trPr>
          <w:tblHeader w:val="true"/>
          <w:cantSplit w:val="true"/>
        </w:trPr>
        <w:tc>
          <w:tcPr>
            <w:tcW w:type="dxa" w:w="31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Параметр</w:t>
            </w:r>
          </w:p>
        </w:tc>
        <w:tc>
          <w:tcPr>
            <w:tcW w:type="dxa" w:w="65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31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Тема</w:t>
            </w:r>
          </w:p>
        </w:tc>
        <w:tc>
          <w:tcPr>
            <w:tcW w:type="dxa" w:w="65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Разработка информационно-поисковой системы для выбора теплообменных аппаратов</w:t>
            </w:r>
          </w:p>
        </w:tc>
      </w:tr>
      <w:tr>
        <w:trPr>
          <w:cantSplit w:val="true"/>
        </w:trPr>
        <w:tc>
          <w:tcPr>
            <w:tcW w:type="dxa" w:w="31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Студент</w:t>
            </w:r>
          </w:p>
        </w:tc>
        <w:tc>
          <w:tcPr>
            <w:tcW w:type="dxa" w:w="65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____________________________________________</w:t>
            </w:r>
          </w:p>
        </w:tc>
      </w:tr>
      <w:tr>
        <w:trPr>
          <w:cantSplit w:val="true"/>
        </w:trPr>
        <w:tc>
          <w:tcPr>
            <w:tcW w:type="dxa" w:w="31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Группа</w:t>
            </w:r>
          </w:p>
        </w:tc>
        <w:tc>
          <w:tcPr>
            <w:tcW w:type="dxa" w:w="65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____________</w:t>
            </w:r>
          </w:p>
        </w:tc>
      </w:tr>
      <w:tr>
        <w:trPr>
          <w:cantSplit w:val="true"/>
        </w:trPr>
        <w:tc>
          <w:tcPr>
            <w:tcW w:type="dxa" w:w="31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Профильная организация</w:t>
            </w:r>
          </w:p>
        </w:tc>
        <w:tc>
          <w:tcPr>
            <w:tcW w:type="dxa" w:w="65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СПбГТИ(ТУ), Санкт-Петербург</w:t>
            </w:r>
          </w:p>
        </w:tc>
      </w:tr>
      <w:tr>
        <w:trPr>
          <w:cantSplit w:val="true"/>
        </w:trPr>
        <w:tc>
          <w:tcPr>
            <w:tcW w:type="dxa" w:w="31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Срок проведения</w:t>
            </w:r>
          </w:p>
        </w:tc>
        <w:tc>
          <w:tcPr>
            <w:tcW w:type="dxa" w:w="65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06.07.2026–19.07.2026</w:t>
            </w:r>
          </w:p>
        </w:tc>
      </w:tr>
      <w:tr>
        <w:trPr>
          <w:cantSplit w:val="true"/>
        </w:trPr>
        <w:tc>
          <w:tcPr>
            <w:tcW w:type="dxa" w:w="31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Срок сдачи отчёта</w:t>
            </w:r>
          </w:p>
        </w:tc>
        <w:tc>
          <w:tcPr>
            <w:tcW w:type="dxa" w:w="65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19.07.2026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Календарный план</w:t>
      </w:r>
    </w:p>
    <w:tbl>
      <w:tblPr>
        <w:tblStyle w:val="TableGrid"/>
        <w:tblW w:type="dxa" w:w="969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7033"/>
        <w:gridCol w:w="2657"/>
      </w:tblGrid>
      <w:tr>
        <w:trPr>
          <w:tblHeader w:val="true"/>
          <w:cantSplit w:val="true"/>
        </w:trPr>
        <w:tc>
          <w:tcPr>
            <w:tcW w:type="dxa" w:w="70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Задача</w:t>
            </w:r>
          </w:p>
        </w:tc>
        <w:tc>
          <w:tcPr>
            <w:tcW w:type="dxa" w:w="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Срок</w:t>
            </w:r>
          </w:p>
        </w:tc>
      </w:tr>
      <w:tr>
        <w:trPr>
          <w:cantSplit w:val="true"/>
        </w:trPr>
        <w:tc>
          <w:tcPr>
            <w:tcW w:type="dxa" w:w="70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Анализ литературных источников и интернет-ресурсов</w:t>
            </w:r>
          </w:p>
        </w:tc>
        <w:tc>
          <w:tcPr>
            <w:tcW w:type="dxa" w:w="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1–2 рабочий день</w:t>
            </w:r>
          </w:p>
        </w:tc>
      </w:tr>
      <w:tr>
        <w:trPr>
          <w:cantSplit w:val="true"/>
        </w:trPr>
        <w:tc>
          <w:tcPr>
            <w:tcW w:type="dxa" w:w="70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Построение концептуальной и даталогической моделей БД</w:t>
            </w:r>
          </w:p>
        </w:tc>
        <w:tc>
          <w:tcPr>
            <w:tcW w:type="dxa" w:w="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3–4 рабочий день</w:t>
            </w:r>
          </w:p>
        </w:tc>
      </w:tr>
      <w:tr>
        <w:trPr>
          <w:cantSplit w:val="true"/>
        </w:trPr>
        <w:tc>
          <w:tcPr>
            <w:tcW w:type="dxa" w:w="70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Построение UML-диаграмм USER и ADMIN</w:t>
            </w:r>
          </w:p>
        </w:tc>
        <w:tc>
          <w:tcPr>
            <w:tcW w:type="dxa" w:w="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 рабочий день</w:t>
            </w:r>
          </w:p>
        </w:tc>
      </w:tr>
      <w:tr>
        <w:trPr>
          <w:cantSplit w:val="true"/>
        </w:trPr>
        <w:tc>
          <w:tcPr>
            <w:tcW w:type="dxa" w:w="70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Разработка алгоритма фильтрации и ранжирования</w:t>
            </w:r>
          </w:p>
        </w:tc>
        <w:tc>
          <w:tcPr>
            <w:tcW w:type="dxa" w:w="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6–7 рабочий день</w:t>
            </w:r>
          </w:p>
        </w:tc>
      </w:tr>
      <w:tr>
        <w:trPr>
          <w:cantSplit w:val="true"/>
        </w:trPr>
        <w:tc>
          <w:tcPr>
            <w:tcW w:type="dxa" w:w="70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Тестирование системы и оформление отчёта</w:t>
            </w:r>
          </w:p>
        </w:tc>
        <w:tc>
          <w:tcPr>
            <w:tcW w:type="dxa" w:w="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8–10 рабочий день</w:t>
            </w:r>
          </w:p>
        </w:tc>
      </w:tr>
    </w:tbl>
    <w:p/>
    <w:p>
      <w:pPr>
        <w:ind w:firstLine="0"/>
      </w:pPr>
      <w:r>
        <w:rPr>
          <w:rFonts w:ascii="Times New Roman" w:hAnsi="Times New Roman" w:eastAsia="Times New Roman" w:cs="Times New Roman"/>
          <w:sz w:val="24"/>
        </w:rPr>
        <w:t>Задание принял к выполнению: ____________________</w:t>
      </w:r>
    </w:p>
    <w:p>
      <w:pPr>
        <w:ind w:firstLine="0"/>
      </w:pPr>
      <w:r>
        <w:rPr>
          <w:rFonts w:ascii="Times New Roman" w:hAnsi="Times New Roman" w:eastAsia="Times New Roman" w:cs="Times New Roman"/>
          <w:sz w:val="24"/>
        </w:rPr>
        <w:t>Руководитель практики: ____________________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8"/>
        </w:rPr>
        <w:t>АННОТАЦИЯ</w:t>
      </w:r>
    </w:p>
    <w:p>
      <w:r>
        <w:rPr>
          <w:rFonts w:ascii="Times New Roman" w:hAnsi="Times New Roman" w:eastAsia="Times New Roman" w:cs="Times New Roman"/>
          <w:sz w:val="28"/>
        </w:rPr>
        <w:t>В отчёте рассмотрена разработка информационно-поисковой системы ThermoSelect для выбора теплообменных аппаратов. Выполнен анализ предметной области, определены информационные потребности пользователя и администратора, сформированы концептуальная и даталогическая модели базы данных. Разработаны алгоритм строгой фильтрации и внутреннего упорядочивания, web-интерфейс, Excel-выгрузка, серверное API и подсистема session-аутентификации.</w:t>
      </w:r>
    </w:p>
    <w:p>
      <w:r>
        <w:rPr>
          <w:rFonts w:ascii="Times New Roman" w:hAnsi="Times New Roman" w:eastAsia="Times New Roman" w:cs="Times New Roman"/>
          <w:sz w:val="28"/>
        </w:rPr>
        <w:t>Каталог включает 50 записей четырёх семейств: пластинчатые, кожухотрубные, воздушные и спиральные теплообменники, в том числе российские модели «Ридан» и аппараты советского типоряда ЧЗТО. Для каждой записи указаны производитель, модель, гранулярность, область применения, материалы, единый набор общих характеристик, специальные факты и источник.</w:t>
      </w:r>
    </w:p>
    <w:p>
      <w:r>
        <w:rPr>
          <w:rFonts w:ascii="Times New Roman" w:hAnsi="Times New Roman" w:eastAsia="Times New Roman" w:cs="Times New Roman"/>
          <w:sz w:val="28"/>
        </w:rPr>
        <w:t>Приложение реализовано на React 19 и Spring Boot 4.1. Схема данных управляется Flyway; для демонстрации используется файловая H2, для эксплуатации предусмотрена PostgreSQL. Проверка одной командой включает Java integration-тесты, Vitest и production-сборку единого исполняемого JAR.</w:t>
      </w:r>
    </w:p>
    <w:p>
      <w:r>
        <w:rPr>
          <w:rFonts w:ascii="Times New Roman" w:hAnsi="Times New Roman" w:eastAsia="Times New Roman" w:cs="Times New Roman"/>
          <w:sz w:val="28"/>
        </w:rPr>
        <w:t>Ключевые слова: теплообменник, информационно-поисковая система, React, Spring Boot, PostgreSQL, H2, Flyway, CSRF, ранжирование, каталог.</w:t>
      </w:r>
    </w:p>
    <w:p>
      <w:r>
        <w:br w:type="page"/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8"/>
        </w:rPr>
        <w:t>СОДЕРЖАНИЕ</w:t>
      </w:r>
    </w:p>
    <w:p>
      <w:pPr>
        <w:jc w:val="left"/>
      </w:pPr>
      <w:r>
        <w:rPr>
          <w:rFonts w:ascii="Times New Roman" w:hAnsi="Times New Roman" w:eastAsia="Times New Roman" w:cs="Times New Roman"/>
          <w:sz w:val="28"/>
        </w:rPr>
        <w:fldChar w:fldCharType="begin"/>
        <w:instrText xml:space="preserve"> TOC \o "1-3" \h \z \u </w:instrText>
        <w:fldChar w:fldCharType="separate"/>
        <w:t>Содержание будет обновлено при открытии документа в Microsoft Word.</w:t>
        <w:fldChar w:fldCharType="end"/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8"/>
        </w:rPr>
        <w:t>ВВЕДЕНИЕ</w:t>
      </w:r>
    </w:p>
    <w:p>
      <w:r>
        <w:rPr>
          <w:rFonts w:ascii="Times New Roman" w:hAnsi="Times New Roman" w:eastAsia="Times New Roman" w:cs="Times New Roman"/>
          <w:sz w:val="28"/>
        </w:rPr>
        <w:t>Теплообменные аппараты применяются в отоплении, вентиляции, холодильной технике, энергетике, пищевой и химической промышленности. Производители публикуют сведения в разных форматах: web-карточках, листах конкретной конфигурации и каталогах серий. Одинаковые по назначению аппараты могут отличаться конструкцией, материалами, допустимыми температурами, давлением, диапазонами расхода и требованиями к обслуживанию.</w:t>
      </w:r>
    </w:p>
    <w:p>
      <w:r>
        <w:rPr>
          <w:rFonts w:ascii="Times New Roman" w:hAnsi="Times New Roman" w:eastAsia="Times New Roman" w:cs="Times New Roman"/>
          <w:sz w:val="28"/>
        </w:rPr>
        <w:t>Ручной просмотр нескольких каталогов затрудняет первичный выбор. Дополнительную проблему создаёт различная гранулярность сведений: значение для конкретного артикула можно использовать непосредственно, а диапазон серии требует уточнения комплектации. Мощность теплообменника также не является постоянной паспортной величиной и зависит от рабочих сред, расходов, температурного графика и допустимого гидравлического сопротивления.</w:t>
      </w:r>
    </w:p>
    <w:p>
      <w:r>
        <w:rPr>
          <w:rFonts w:ascii="Times New Roman" w:hAnsi="Times New Roman" w:eastAsia="Times New Roman" w:cs="Times New Roman"/>
          <w:sz w:val="28"/>
        </w:rPr>
        <w:t>Цель практики — разработать информационно-поисковую web-систему, которая хранит структурированные сведения о теплообменниках, выполняет строгую фильтрацию, ранжирует результаты и объясняет причины совпадения без подмены инженерного теплового расчёта.</w:t>
      </w:r>
    </w:p>
    <w:p>
      <w:r>
        <w:rPr>
          <w:rFonts w:ascii="Times New Roman" w:hAnsi="Times New Roman" w:eastAsia="Times New Roman" w:cs="Times New Roman"/>
          <w:sz w:val="28"/>
        </w:rPr>
        <w:t>Для достижения цели решены следующие задачи: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8"/>
        </w:rPr>
        <w:t>проанализированы официальные материалы производителей;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8"/>
        </w:rPr>
        <w:t>разработаны концептуальная, логическая и физическая модели данных;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8"/>
        </w:rPr>
        <w:t>определены роли пользователя и администратора, построены UML-сценарии;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8"/>
        </w:rPr>
        <w:t>реализованы регистрация, вход, каталог, фильтры, карточка, сравнение и административные функции;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8"/>
        </w:rPr>
        <w:t>разработан алгоритм нормализованного ранжирования;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8"/>
        </w:rPr>
        <w:t>подготовлены тесты, инструкции по запуску, журналы и материалы защиты.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8"/>
        </w:rPr>
        <w:t>1 АНАЛИЗ ПРЕДМЕТНОЙ ОБЛАСТИ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</w:rPr>
        <w:t>1.1 Назначение и типы теплообменных аппаратов</w:t>
      </w:r>
    </w:p>
    <w:p>
      <w:r>
        <w:rPr>
          <w:rFonts w:ascii="Times New Roman" w:hAnsi="Times New Roman" w:eastAsia="Times New Roman" w:cs="Times New Roman"/>
          <w:sz w:val="28"/>
        </w:rPr>
        <w:t>Теплообменник обеспечивает передачу теплоты между средами, разделёнными поверхностью теплообмена либо контактирующими в специально организованном процессе. В границах проекта рассматриваются четыре семейства аппаратов.</w:t>
      </w:r>
    </w:p>
    <w:tbl>
      <w:tblPr>
        <w:tblStyle w:val="TableGrid"/>
        <w:tblW w:type="dxa" w:w="969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223"/>
        <w:gridCol w:w="4233"/>
        <w:gridCol w:w="4234"/>
      </w:tblGrid>
      <w:tr>
        <w:trPr>
          <w:tblHeader w:val="true"/>
          <w:cantSplit w:val="true"/>
        </w:trPr>
        <w:tc>
          <w:tcPr>
            <w:tcW w:type="dxa" w:w="12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Семейство</w:t>
            </w:r>
          </w:p>
        </w:tc>
        <w:tc>
          <w:tcPr>
            <w:tcW w:type="dxa" w:w="42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Конструктивная особенность</w:t>
            </w:r>
          </w:p>
        </w:tc>
        <w:tc>
          <w:tcPr>
            <w:tcW w:type="dxa" w:w="42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Типовые области применения</w:t>
            </w:r>
          </w:p>
        </w:tc>
      </w:tr>
      <w:tr>
        <w:trPr>
          <w:cantSplit w:val="true"/>
        </w:trPr>
        <w:tc>
          <w:tcPr>
            <w:tcW w:type="dxa" w:w="12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Пластинчатые</w:t>
            </w:r>
          </w:p>
        </w:tc>
        <w:tc>
          <w:tcPr>
            <w:tcW w:type="dxa" w:w="42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Пакет профилированных пластин; разборное или паяное исполнение</w:t>
            </w:r>
          </w:p>
        </w:tc>
        <w:tc>
          <w:tcPr>
            <w:tcW w:type="dxa" w:w="42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отопление, охлаждение, HVAC, холодильная техника</w:t>
            </w:r>
          </w:p>
        </w:tc>
      </w:tr>
      <w:tr>
        <w:trPr>
          <w:cantSplit w:val="true"/>
        </w:trPr>
        <w:tc>
          <w:tcPr>
            <w:tcW w:type="dxa" w:w="12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Кожухотрубные</w:t>
            </w:r>
          </w:p>
        </w:tc>
        <w:tc>
          <w:tcPr>
            <w:tcW w:type="dxa" w:w="42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Пучок труб внутри кожуха; возможны разные материалы и число ходов</w:t>
            </w:r>
          </w:p>
        </w:tc>
        <w:tc>
          <w:tcPr>
            <w:tcW w:type="dxa" w:w="42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промышленность, энергетика, масла, морские системы</w:t>
            </w:r>
          </w:p>
        </w:tc>
      </w:tr>
      <w:tr>
        <w:trPr>
          <w:cantSplit w:val="true"/>
        </w:trPr>
        <w:tc>
          <w:tcPr>
            <w:tcW w:type="dxa" w:w="12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Воздушные</w:t>
            </w:r>
          </w:p>
        </w:tc>
        <w:tc>
          <w:tcPr>
            <w:tcW w:type="dxa" w:w="42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Оребрённый теплообменный блок с вентиляторами</w:t>
            </w:r>
          </w:p>
        </w:tc>
        <w:tc>
          <w:tcPr>
            <w:tcW w:type="dxa" w:w="42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конденсация, drycooling, холодильные установки, дата-центры</w:t>
            </w:r>
          </w:p>
        </w:tc>
      </w:tr>
      <w:tr>
        <w:trPr>
          <w:cantSplit w:val="true"/>
        </w:trPr>
        <w:tc>
          <w:tcPr>
            <w:tcW w:type="dxa" w:w="12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Спиральные</w:t>
            </w:r>
          </w:p>
        </w:tc>
        <w:tc>
          <w:tcPr>
            <w:tcW w:type="dxa" w:w="42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Один или два спиральных канала, устойчивых к загрязнению</w:t>
            </w:r>
          </w:p>
        </w:tc>
        <w:tc>
          <w:tcPr>
            <w:tcW w:type="dxa" w:w="42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загрязнённые среды, рекуперация, конденсация, сточные воды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 w:cs="Times New Roman"/>
          <w:sz w:val="28"/>
        </w:rPr>
        <w:t>Система не выполняет окончательный подбор. Она сокращает множество кандидатов и формирует объяснимый список для последующего обращения к производителю или выполнения инженерного расчёта.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</w:rPr>
        <w:t>1.2 Пользователи и информационные потребности</w:t>
      </w:r>
    </w:p>
    <w:p>
      <w:r>
        <w:rPr>
          <w:rFonts w:ascii="Times New Roman" w:hAnsi="Times New Roman" w:eastAsia="Times New Roman" w:cs="Times New Roman"/>
          <w:sz w:val="28"/>
        </w:rPr>
        <w:t>Обычному пользователю необходимы регистрация, вход, просмотр справочников, поиск по типу и характеристикам, выгрузка найденных вариантов в Excel, детальная карточка и сравнение нескольких вариантов. Интерфейс показывает значимые характеристики и гранулярность записи, не перегружая результат служебным баллом или процентом совпадения.</w:t>
      </w:r>
    </w:p>
    <w:p>
      <w:r>
        <w:rPr>
          <w:rFonts w:ascii="Times New Roman" w:hAnsi="Times New Roman" w:eastAsia="Times New Roman" w:cs="Times New Roman"/>
          <w:sz w:val="28"/>
        </w:rPr>
        <w:t>Администратор поддерживает качество каталога: создаёт и редактирует записи, публикует или архивирует их, управляет производителями и пользователями. Система запрещает администратору удалять, блокировать или лишать роли собственную учётную запись, чтобы не потерять управление.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</w:rPr>
        <w:t>1.3 Источники и качество данных</w:t>
      </w:r>
    </w:p>
    <w:p>
      <w:r>
        <w:rPr>
          <w:rFonts w:ascii="Times New Roman" w:hAnsi="Times New Roman" w:eastAsia="Times New Roman" w:cs="Times New Roman"/>
          <w:sz w:val="28"/>
        </w:rPr>
        <w:t>Исходные сведения собраны с ресурсов Alfa Laval, Danfoss, Kelvion, SWEP, API Heat Transfer, «Ридан» и каталога советского типоряда ЧЗТО. Каждая запись содержит URL, название источника, дату проверки и текстовое основание измерений. Дополнительно хранится гранулярность.</w:t>
      </w:r>
    </w:p>
    <w:tbl>
      <w:tblPr>
        <w:tblStyle w:val="TableGrid"/>
        <w:tblW w:type="dxa" w:w="969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2076"/>
        <w:gridCol w:w="4449"/>
        <w:gridCol w:w="3165"/>
      </w:tblGrid>
      <w:tr>
        <w:trPr>
          <w:tblHeader w:val="true"/>
          <w:cantSplit w:val="true"/>
        </w:trPr>
        <w:tc>
          <w:tcPr>
            <w:tcW w:type="dxa" w:w="20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Гранулярность</w:t>
            </w:r>
          </w:p>
        </w:tc>
        <w:tc>
          <w:tcPr>
            <w:tcW w:type="dxa" w:w="44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Смысл</w:t>
            </w:r>
          </w:p>
        </w:tc>
        <w:tc>
          <w:tcPr>
            <w:tcW w:type="dxa" w:w="31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Уровень доверия при ранжировании</w:t>
            </w:r>
          </w:p>
        </w:tc>
      </w:tr>
      <w:tr>
        <w:trPr>
          <w:cantSplit w:val="true"/>
        </w:trPr>
        <w:tc>
          <w:tcPr>
            <w:tcW w:type="dxa" w:w="20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EXACT_CONFIGURATION</w:t>
            </w:r>
          </w:p>
        </w:tc>
        <w:tc>
          <w:tcPr>
            <w:tcW w:type="dxa" w:w="44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конкретный SKU или заранее определённая комплектация</w:t>
            </w:r>
          </w:p>
        </w:tc>
        <w:tc>
          <w:tcPr>
            <w:tcW w:type="dxa" w:w="31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высокий</w:t>
            </w:r>
          </w:p>
        </w:tc>
      </w:tr>
      <w:tr>
        <w:trPr>
          <w:cantSplit w:val="true"/>
        </w:trPr>
        <w:tc>
          <w:tcPr>
            <w:tcW w:type="dxa" w:w="20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STANDARD_MODEL</w:t>
            </w:r>
          </w:p>
        </w:tc>
        <w:tc>
          <w:tcPr>
            <w:tcW w:type="dxa" w:w="44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стандартная модель с опубликованными параметрами</w:t>
            </w:r>
          </w:p>
        </w:tc>
        <w:tc>
          <w:tcPr>
            <w:tcW w:type="dxa" w:w="31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средний</w:t>
            </w:r>
          </w:p>
        </w:tc>
      </w:tr>
      <w:tr>
        <w:trPr>
          <w:cantSplit w:val="true"/>
        </w:trPr>
        <w:tc>
          <w:tcPr>
            <w:tcW w:type="dxa" w:w="20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SERIES</w:t>
            </w:r>
          </w:p>
        </w:tc>
        <w:tc>
          <w:tcPr>
            <w:tcW w:type="dxa" w:w="44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конфигурируемая серия и её общий диапазон</w:t>
            </w:r>
          </w:p>
        </w:tc>
        <w:tc>
          <w:tcPr>
            <w:tcW w:type="dxa" w:w="31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требует уточнения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 w:cs="Times New Roman"/>
          <w:sz w:val="28"/>
        </w:rPr>
        <w:t>Открытые каталоги не содержат одинаковый набор характеристик для всех 50 записей. Поэтому общая часть карточки нормализована: площадь, диапазоны расхода и температуры, максимальное давление, габариты и масса. При отсутствии отдельного значения в открытом материале используется согласованное справочное значение для соответствующего семейства и типоразмера. Мощность исключена из общего набора, так как без рабочего режима она не является сопоставимой характеристикой модели.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</w:rPr>
        <w:t>1.4 Состав каталога</w:t>
      </w:r>
    </w:p>
    <w:tbl>
      <w:tblPr>
        <w:tblStyle w:val="TableGrid"/>
        <w:tblW w:type="dxa" w:w="969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2172"/>
        <w:gridCol w:w="5513"/>
        <w:gridCol w:w="2005"/>
      </w:tblGrid>
      <w:tr>
        <w:trPr>
          <w:tblHeader w:val="true"/>
          <w:cantSplit w:val="true"/>
        </w:trPr>
        <w:tc>
          <w:tcPr>
            <w:tcW w:type="dxa" w:w="21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Производитель</w:t>
            </w:r>
          </w:p>
        </w:tc>
        <w:tc>
          <w:tcPr>
            <w:tcW w:type="dxa" w:w="55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Семейство</w:t>
            </w:r>
          </w:p>
        </w:tc>
        <w:tc>
          <w:tcPr>
            <w:tcW w:type="dxa" w:w="2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Количество</w:t>
            </w:r>
          </w:p>
        </w:tc>
      </w:tr>
      <w:tr>
        <w:trPr>
          <w:cantSplit w:val="true"/>
        </w:trPr>
        <w:tc>
          <w:tcPr>
            <w:tcW w:type="dxa" w:w="21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Alfa Laval</w:t>
            </w:r>
          </w:p>
        </w:tc>
        <w:tc>
          <w:tcPr>
            <w:tcW w:type="dxa" w:w="55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пластинчатые Fast Track</w:t>
            </w:r>
          </w:p>
        </w:tc>
        <w:tc>
          <w:tcPr>
            <w:tcW w:type="dxa" w:w="2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8</w:t>
            </w:r>
          </w:p>
        </w:tc>
      </w:tr>
      <w:tr>
        <w:trPr>
          <w:cantSplit w:val="true"/>
        </w:trPr>
        <w:tc>
          <w:tcPr>
            <w:tcW w:type="dxa" w:w="21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Danfoss</w:t>
            </w:r>
          </w:p>
        </w:tc>
        <w:tc>
          <w:tcPr>
            <w:tcW w:type="dxa" w:w="55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пластинчатые B3</w:t>
            </w:r>
          </w:p>
        </w:tc>
        <w:tc>
          <w:tcPr>
            <w:tcW w:type="dxa" w:w="2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6</w:t>
            </w:r>
          </w:p>
        </w:tc>
      </w:tr>
      <w:tr>
        <w:trPr>
          <w:cantSplit w:val="true"/>
        </w:trPr>
        <w:tc>
          <w:tcPr>
            <w:tcW w:type="dxa" w:w="21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Kelvion</w:t>
            </w:r>
          </w:p>
        </w:tc>
        <w:tc>
          <w:tcPr>
            <w:tcW w:type="dxa" w:w="55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пластинчатые NX</w:t>
            </w:r>
          </w:p>
        </w:tc>
        <w:tc>
          <w:tcPr>
            <w:tcW w:type="dxa" w:w="2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6</w:t>
            </w:r>
          </w:p>
        </w:tc>
      </w:tr>
      <w:tr>
        <w:trPr>
          <w:cantSplit w:val="true"/>
        </w:trPr>
        <w:tc>
          <w:tcPr>
            <w:tcW w:type="dxa" w:w="21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SWEP</w:t>
            </w:r>
          </w:p>
        </w:tc>
        <w:tc>
          <w:tcPr>
            <w:tcW w:type="dxa" w:w="55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пластинчатые All-Stainless</w:t>
            </w:r>
          </w:p>
        </w:tc>
        <w:tc>
          <w:tcPr>
            <w:tcW w:type="dxa" w:w="2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</w:tr>
      <w:tr>
        <w:trPr>
          <w:cantSplit w:val="true"/>
        </w:trPr>
        <w:tc>
          <w:tcPr>
            <w:tcW w:type="dxa" w:w="21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Ридан</w:t>
            </w:r>
          </w:p>
        </w:tc>
        <w:tc>
          <w:tcPr>
            <w:tcW w:type="dxa" w:w="55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пластинчатые НН</w:t>
            </w:r>
          </w:p>
        </w:tc>
        <w:tc>
          <w:tcPr>
            <w:tcW w:type="dxa" w:w="2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</w:tr>
      <w:tr>
        <w:trPr>
          <w:cantSplit w:val="true"/>
        </w:trPr>
        <w:tc>
          <w:tcPr>
            <w:tcW w:type="dxa" w:w="21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Basco</w:t>
            </w:r>
          </w:p>
        </w:tc>
        <w:tc>
          <w:tcPr>
            <w:tcW w:type="dxa" w:w="55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кожухотрубные</w:t>
            </w:r>
          </w:p>
        </w:tc>
        <w:tc>
          <w:tcPr>
            <w:tcW w:type="dxa" w:w="2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6</w:t>
            </w:r>
          </w:p>
        </w:tc>
      </w:tr>
      <w:tr>
        <w:trPr>
          <w:cantSplit w:val="true"/>
        </w:trPr>
        <w:tc>
          <w:tcPr>
            <w:tcW w:type="dxa" w:w="21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ЧЗТО</w:t>
            </w:r>
          </w:p>
        </w:tc>
        <w:tc>
          <w:tcPr>
            <w:tcW w:type="dxa" w:w="55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кожухотрубные советского типоряда</w:t>
            </w:r>
          </w:p>
        </w:tc>
        <w:tc>
          <w:tcPr>
            <w:tcW w:type="dxa" w:w="2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</w:tr>
      <w:tr>
        <w:trPr>
          <w:cantSplit w:val="true"/>
        </w:trPr>
        <w:tc>
          <w:tcPr>
            <w:tcW w:type="dxa" w:w="21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Kelvion</w:t>
            </w:r>
          </w:p>
        </w:tc>
        <w:tc>
          <w:tcPr>
            <w:tcW w:type="dxa" w:w="55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воздушные</w:t>
            </w:r>
          </w:p>
        </w:tc>
        <w:tc>
          <w:tcPr>
            <w:tcW w:type="dxa" w:w="2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6</w:t>
            </w:r>
          </w:p>
        </w:tc>
      </w:tr>
      <w:tr>
        <w:trPr>
          <w:cantSplit w:val="true"/>
        </w:trPr>
        <w:tc>
          <w:tcPr>
            <w:tcW w:type="dxa" w:w="21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Alfa Laval</w:t>
            </w:r>
          </w:p>
        </w:tc>
        <w:tc>
          <w:tcPr>
            <w:tcW w:type="dxa" w:w="55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спиральные SHE</w:t>
            </w:r>
          </w:p>
        </w:tc>
        <w:tc>
          <w:tcPr>
            <w:tcW w:type="dxa" w:w="2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6</w:t>
            </w:r>
          </w:p>
        </w:tc>
      </w:tr>
      <w:tr>
        <w:trPr>
          <w:cantSplit w:val="true"/>
        </w:trPr>
        <w:tc>
          <w:tcPr>
            <w:tcW w:type="dxa" w:w="21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Итого</w:t>
            </w:r>
          </w:p>
        </w:tc>
        <w:tc>
          <w:tcPr>
            <w:tcW w:type="dxa" w:w="55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50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8"/>
        </w:rPr>
        <w:t>2 ТРЕБОВАНИЯ И ВАРИАНТЫ ИСПОЛЬЗОВАНИЯ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</w:rPr>
        <w:t>2.1 Функциональные требования</w:t>
      </w:r>
    </w:p>
    <w:p>
      <w:r>
        <w:rPr>
          <w:rFonts w:ascii="Times New Roman" w:hAnsi="Times New Roman" w:eastAsia="Times New Roman" w:cs="Times New Roman"/>
          <w:sz w:val="28"/>
        </w:rPr>
        <w:t>Публичная часть содержит лендинг, регистрацию и вход. После авторизации пользователь получает доступ к каталогу, фильтрам, Excel-выгрузке, карточкам, сравнению и read-only странице учётной записи. Административная часть содержит обзор, список записей, редактор, смену статусов и управление пользователями.</w:t>
      </w:r>
    </w:p>
    <w:p>
      <w:r>
        <w:rPr>
          <w:rFonts w:ascii="Times New Roman" w:hAnsi="Times New Roman" w:eastAsia="Times New Roman" w:cs="Times New Roman"/>
          <w:sz w:val="28"/>
        </w:rPr>
        <w:t>Строгие числовые фильтры должны исключать аппарат, который не покрывает требование. Пагинация должна быть стабильной. Сравнение принимает от двух до четырёх уникальных идентификаторов и сохраняет порядок пользователя. Удаление записи каталога заменяется архивированием.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</w:rPr>
        <w:t>2.2 Нефункциональные требования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8"/>
        </w:rPr>
        <w:t>единый исполняемый JAR и один origin для UI/API;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8"/>
        </w:rPr>
        <w:t>русский адаптивный интерфейс;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8"/>
        </w:rPr>
        <w:t>относительные API URL и отсутствие production CORS;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8"/>
        </w:rPr>
        <w:t>Flyway как единственный владелец схемы;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8"/>
        </w:rPr>
        <w:t>optimistic locking для административных изменений;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8"/>
        </w:rPr>
        <w:t>единый JSON-формат ошибок;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8"/>
        </w:rPr>
        <w:t>30-минутная session-аутентификация и немедленный отзыв доступа;</w:t>
      </w:r>
    </w:p>
    <w:p>
      <w:pPr>
        <w:pStyle w:val="ListBullet"/>
      </w:pPr>
      <w:r>
        <w:rPr>
          <w:rFonts w:ascii="Times New Roman" w:hAnsi="Times New Roman" w:eastAsia="Times New Roman" w:cs="Times New Roman"/>
          <w:sz w:val="28"/>
        </w:rPr>
        <w:t>воспроизводимые Java- и React-тесты.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</w:rPr>
        <w:t>2.3 UML вариантов использования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49319" cy="6217919"/>
            <wp:docPr id="2" name="Picture 2" descr="Рисунок 1 – Варианты использования ThermoSele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9319" cy="6217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  <w:sz w:val="24"/>
        </w:rPr>
        <w:t>Рисунок 1 – Варианты использования ThermoSelect</w:t>
      </w:r>
    </w:p>
    <w:p>
      <w:r>
        <w:rPr>
          <w:rFonts w:ascii="Times New Roman" w:hAnsi="Times New Roman" w:eastAsia="Times New Roman" w:cs="Times New Roman"/>
          <w:sz w:val="28"/>
        </w:rPr>
        <w:t>Пользователь работает только с опубликованными данными. Администратор наследует пользовательские сценарии и получает команды изменения. Проверка роли выполняется сервером для каждого ADMIN endpoint; скрытие пункта меню во frontend не является механизмом безопасности.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</w:rPr>
        <w:t>2.4 Критерии выбора архитектуры и инструментов</w:t>
      </w:r>
    </w:p>
    <w:p>
      <w:r>
        <w:rPr>
          <w:rFonts w:ascii="Times New Roman" w:hAnsi="Times New Roman" w:eastAsia="Times New Roman" w:cs="Times New Roman"/>
          <w:sz w:val="28"/>
        </w:rPr>
        <w:t>Технологии выбирались не по популярности как самостоятельному показателю, а по соответствию ограничениям проекта. Основными критериями стали: реализация всех пользовательских и административных сценариев, безопасность session-аутентификации, повторное использование исходного модуля авторизации, возможность демонстрации на разных компьютерах, воспроизводимая сборка, автоматическое тестирование и завершение работы в срок учебной практики.</w:t>
      </w:r>
    </w:p>
    <w:p>
      <w:r>
        <w:rPr>
          <w:rFonts w:ascii="Times New Roman" w:hAnsi="Times New Roman" w:eastAsia="Times New Roman" w:cs="Times New Roman"/>
          <w:sz w:val="28"/>
        </w:rPr>
        <w:t>При сравнении учитывались также эксплуатационные свойства. Решение должно запускаться без установки отдельного frontend-сервера, работать с одной точкой входа, не требовать CORS в production и сохранять возможность перехода с локальной базы на серверную СУБД. Поэтому «лучшим» далее называется вариант, который получил наилучшее соответствие именно этим требованиям. При других условиях — например, обязательной автономной работе без браузера или наличии корпоративного стандарта .NET — итоговый выбор мог бы отличаться.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</w:rPr>
        <w:t>2.5 Обоснование web-интерфейса</w:t>
      </w:r>
    </w:p>
    <w:p>
      <w:r>
        <w:rPr>
          <w:rFonts w:ascii="Times New Roman" w:hAnsi="Times New Roman" w:eastAsia="Times New Roman" w:cs="Times New Roman"/>
          <w:sz w:val="28"/>
        </w:rPr>
        <w:t>Для пользовательского интерфейса сравнивались web-приложение, настольное приложение JavaFX, desktop-оболочка Electron и консольная программа.</w:t>
      </w:r>
    </w:p>
    <w:tbl>
      <w:tblPr>
        <w:tblStyle w:val="TableGrid"/>
        <w:tblW w:type="dxa" w:w="969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020"/>
        <w:gridCol w:w="3825"/>
        <w:gridCol w:w="3825"/>
        <w:gridCol w:w="1020"/>
      </w:tblGrid>
      <w:tr>
        <w:trPr>
          <w:tblHeader w:val="true"/>
          <w:cantSplit w:val="true"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Форма</w:t>
            </w:r>
          </w:p>
        </w:tc>
        <w:tc>
          <w:tcPr>
            <w:tcW w:type="dxa" w:w="38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Преимущества</w:t>
            </w:r>
          </w:p>
        </w:tc>
        <w:tc>
          <w:tcPr>
            <w:tcW w:type="dxa" w:w="38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Ограничения для ThermoSelect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Выбор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Web SPA</w:t>
            </w:r>
          </w:p>
        </w:tc>
        <w:tc>
          <w:tcPr>
            <w:tcW w:type="dxa" w:w="38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запуск в браузере, единое обновление, адаптивность, доступ с разных ОС, удобные формы и таблицы</w:t>
            </w:r>
          </w:p>
        </w:tc>
        <w:tc>
          <w:tcPr>
            <w:tcW w:type="dxa" w:w="38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требуется браузер и запущенный сервер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выбран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JavaFX</w:t>
            </w:r>
          </w:p>
        </w:tc>
        <w:tc>
          <w:tcPr>
            <w:tcW w:type="dxa" w:w="38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полноценное desktop-приложение, доступ к возможностям ОС, возможна автономная работа</w:t>
            </w:r>
          </w:p>
        </w:tc>
        <w:tc>
          <w:tcPr>
            <w:tcW w:type="dxa" w:w="38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отдельная установка и доставка обновлений, дополнительная реализация адаптивного интерфейса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 выбран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Electron</w:t>
            </w:r>
          </w:p>
        </w:tc>
        <w:tc>
          <w:tcPr>
            <w:tcW w:type="dxa" w:w="38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общий стек HTML, CSS и JavaScript, кроссплатформенная desktop-сборка</w:t>
            </w:r>
          </w:p>
        </w:tc>
        <w:tc>
          <w:tcPr>
            <w:tcW w:type="dxa" w:w="38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 поставку включаются Chromium и Node.js; отдельный установщик не решает задачу централизованного каталога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 выбран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CLI</w:t>
            </w:r>
          </w:p>
        </w:tc>
        <w:tc>
          <w:tcPr>
            <w:tcW w:type="dxa" w:w="38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минимальные требования к интерфейсу и ресурсам</w:t>
            </w:r>
          </w:p>
        </w:tc>
        <w:tc>
          <w:tcPr>
            <w:tcW w:type="dxa" w:w="38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неудобны фильтры, сравнение, графическое объяснение рейтинга и администрирование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 выбран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 w:cs="Times New Roman"/>
          <w:sz w:val="28"/>
        </w:rPr>
        <w:t>Web-интерфейс выбран как наиболее подходящий, поскольку каталог является многопользовательской информационной системой, а не локальным инженерным калькулятором. Браузер уже предоставляет стандартные элементы форм, навигацию, доступность и адаптацию к экрану. Размещение React и API на одном origin упрощает cookie-сессии и CSRF-защиту. Установка клиента на каждое рабочее место не требуется: для обновления достаточно заменить серверный JAR. Electron был бы оправдан при необходимости автономной desktop-работы или интеграции с локальным оборудованием, которых в задании нет.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</w:rPr>
        <w:t>2.6 Выбор frontend-стека</w:t>
      </w:r>
    </w:p>
    <w:p>
      <w:r>
        <w:rPr>
          <w:rFonts w:ascii="Times New Roman" w:hAnsi="Times New Roman" w:eastAsia="Times New Roman" w:cs="Times New Roman"/>
          <w:sz w:val="28"/>
        </w:rPr>
        <w:t>React сопоставлялся с Vue и Angular по шкале от 1 до 5. Вес показывает значимость критерия для текущего проекта; итоговая оценка является взвешенной суммой и служит прозрачным обоснованием, а не универсальным рейтингом технологий.</w:t>
      </w:r>
    </w:p>
    <w:tbl>
      <w:tblPr>
        <w:tblStyle w:val="TableGrid"/>
        <w:tblW w:type="dxa" w:w="969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4344"/>
        <w:gridCol w:w="1337"/>
        <w:gridCol w:w="1337"/>
        <w:gridCol w:w="1337"/>
        <w:gridCol w:w="1335"/>
      </w:tblGrid>
      <w:tr>
        <w:trPr>
          <w:tblHeader w:val="true"/>
          <w:cantSplit w:val="true"/>
        </w:trPr>
        <w:tc>
          <w:tcPr>
            <w:tcW w:type="dxa" w:w="4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Критерий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Вес, %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React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Vue</w:t>
            </w:r>
          </w:p>
        </w:tc>
        <w:tc>
          <w:tcPr>
            <w:tcW w:type="dxa" w:w="13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Angular</w:t>
            </w:r>
          </w:p>
        </w:tc>
      </w:tr>
      <w:tr>
        <w:trPr>
          <w:cantSplit w:val="true"/>
        </w:trPr>
        <w:tc>
          <w:tcPr>
            <w:tcW w:type="dxa" w:w="4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Компонентная реализация сложных экранов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25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</w:t>
            </w:r>
          </w:p>
        </w:tc>
        <w:tc>
          <w:tcPr>
            <w:tcW w:type="dxa" w:w="13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</w:t>
            </w:r>
          </w:p>
        </w:tc>
      </w:tr>
      <w:tr>
        <w:trPr>
          <w:cantSplit w:val="true"/>
        </w:trPr>
        <w:tc>
          <w:tcPr>
            <w:tcW w:type="dxa" w:w="4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Совместимость с JavaScript и JSDoc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20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</w:t>
            </w:r>
          </w:p>
        </w:tc>
        <w:tc>
          <w:tcPr>
            <w:tcW w:type="dxa" w:w="13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</w:tr>
      <w:tr>
        <w:trPr>
          <w:cantSplit w:val="true"/>
        </w:trPr>
        <w:tc>
          <w:tcPr>
            <w:tcW w:type="dxa" w:w="4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Скорость освоения и реализации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15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</w:t>
            </w:r>
          </w:p>
        </w:tc>
        <w:tc>
          <w:tcPr>
            <w:tcW w:type="dxa" w:w="13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</w:tr>
      <w:tr>
        <w:trPr>
          <w:cantSplit w:val="true"/>
        </w:trPr>
        <w:tc>
          <w:tcPr>
            <w:tcW w:type="dxa" w:w="4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Тестирование и маршрутизация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15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  <w:tc>
          <w:tcPr>
            <w:tcW w:type="dxa" w:w="13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</w:t>
            </w:r>
          </w:p>
        </w:tc>
      </w:tr>
      <w:tr>
        <w:trPr>
          <w:cantSplit w:val="true"/>
        </w:trPr>
        <w:tc>
          <w:tcPr>
            <w:tcW w:type="dxa" w:w="4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Контроль состава зависимостей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10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  <w:tc>
          <w:tcPr>
            <w:tcW w:type="dxa" w:w="13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</w:tr>
      <w:tr>
        <w:trPr>
          <w:cantSplit w:val="true"/>
        </w:trPr>
        <w:tc>
          <w:tcPr>
            <w:tcW w:type="dxa" w:w="4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Соответствие уже созданному коду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15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type="dxa" w:w="13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</w:tr>
      <w:tr>
        <w:trPr>
          <w:cantSplit w:val="true"/>
        </w:trPr>
        <w:tc>
          <w:tcPr>
            <w:tcW w:type="dxa" w:w="4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Взвешенный итог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100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4,75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4,30</w:t>
            </w:r>
          </w:p>
        </w:tc>
        <w:tc>
          <w:tcPr>
            <w:tcW w:type="dxa" w:w="13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3,20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 w:cs="Times New Roman"/>
          <w:sz w:val="28"/>
        </w:rPr>
        <w:t>React предоставляет компонентную модель и не навязывает полный набор подсистем. Это удобно для проекта, где маршрутизация выбрана отдельно, а глобальное состояние ограничено контекстами авторизации и сравнения. Vue является сильным аналогом: он также компонентный, декларативный и удобен для постепенного внедрения. Однако переход на Vue не дал бы функционального выигрыша и потребовал бы переписать готовые React-компоненты и тесты. Angular предоставляет целостный framework, строгую структуру и развитые средства для крупных команд, но предполагает более тяжёлую модель приложения и знание TypeScript, декораторов и дополнительных концепций. Для ограниченного по срокам проекта это увеличивает стоимость без необходимости.</w:t>
      </w:r>
    </w:p>
    <w:p>
      <w:r>
        <w:rPr>
          <w:rFonts w:ascii="Times New Roman" w:hAnsi="Times New Roman" w:eastAsia="Times New Roman" w:cs="Times New Roman"/>
          <w:sz w:val="28"/>
        </w:rPr>
        <w:t>Vite выбран вместо ручной конфигурации Webpack как готовая цепочка разработки и production-сборки с быстрым dev-сервером, HMR и оптимизированными статическими ресурсами. Vitest использует совместимую с Vite среду и не требует второй независимой конфигурации преобразования JSX. Redux не применён, поскольку разделяемое состояние невелико: добавление отдельного хранилища увеличило бы число абстракций без измеримого упрощения текущих сценариев. UI-фреймворк также не используется, чтобы сохранить инженерный визуальный стиль и не включать большой набор невостребованных компонентов.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</w:rPr>
        <w:t>2.7 Выбор backend и базы данных</w:t>
      </w:r>
    </w:p>
    <w:p>
      <w:r>
        <w:rPr>
          <w:rFonts w:ascii="Times New Roman" w:hAnsi="Times New Roman" w:eastAsia="Times New Roman" w:cs="Times New Roman"/>
          <w:sz w:val="28"/>
        </w:rPr>
        <w:t>Backend-стек выбирался с нуля между Spring Boot, NestJS и ASP.NET Core. Все три варианта позволяют построить REST API, применить dependency injection, выполнить валидацию и покрыть приложение автоматическими тестами. Для сравнения использована шкала от 1 до 5. Наибольший вес получили безопасность и транзакционная работа с реляционными данными, а требование единого исполняемого JAR рассматривалось как обязательное условие поставки.</w:t>
      </w:r>
    </w:p>
    <w:tbl>
      <w:tblPr>
        <w:tblStyle w:val="TableGrid"/>
        <w:tblW w:type="dxa" w:w="969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4344"/>
        <w:gridCol w:w="1337"/>
        <w:gridCol w:w="1337"/>
        <w:gridCol w:w="1337"/>
        <w:gridCol w:w="1335"/>
      </w:tblGrid>
      <w:tr>
        <w:trPr>
          <w:tblHeader w:val="true"/>
          <w:cantSplit w:val="true"/>
        </w:trPr>
        <w:tc>
          <w:tcPr>
            <w:tcW w:type="dxa" w:w="4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Критерий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Вес, %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Spring Boot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NestJS</w:t>
            </w:r>
          </w:p>
        </w:tc>
        <w:tc>
          <w:tcPr>
            <w:tcW w:type="dxa" w:w="13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ASP.NET Core</w:t>
            </w:r>
          </w:p>
        </w:tc>
      </w:tr>
      <w:tr>
        <w:trPr>
          <w:cantSplit w:val="true"/>
        </w:trPr>
        <w:tc>
          <w:tcPr>
            <w:tcW w:type="dxa" w:w="4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Session-аутентификация, CSRF и роли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25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  <w:tc>
          <w:tcPr>
            <w:tcW w:type="dxa" w:w="13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</w:t>
            </w:r>
          </w:p>
        </w:tc>
      </w:tr>
      <w:tr>
        <w:trPr>
          <w:cantSplit w:val="true"/>
        </w:trPr>
        <w:tc>
          <w:tcPr>
            <w:tcW w:type="dxa" w:w="4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Транзакции и реляционная модель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20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  <w:tc>
          <w:tcPr>
            <w:tcW w:type="dxa" w:w="13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</w:t>
            </w:r>
          </w:p>
        </w:tc>
      </w:tr>
      <w:tr>
        <w:trPr>
          <w:cantSplit w:val="true"/>
        </w:trPr>
        <w:tc>
          <w:tcPr>
            <w:tcW w:type="dxa" w:w="4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Сборка в исполняемый JAR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20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</w:t>
            </w:r>
          </w:p>
        </w:tc>
        <w:tc>
          <w:tcPr>
            <w:tcW w:type="dxa" w:w="13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</w:t>
            </w:r>
          </w:p>
        </w:tc>
      </w:tr>
      <w:tr>
        <w:trPr>
          <w:cantSplit w:val="true"/>
        </w:trPr>
        <w:tc>
          <w:tcPr>
            <w:tcW w:type="dxa" w:w="4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Статическая типизация предметной модели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15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  <w:tc>
          <w:tcPr>
            <w:tcW w:type="dxa" w:w="13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</w:t>
            </w:r>
          </w:p>
        </w:tc>
      </w:tr>
      <w:tr>
        <w:trPr>
          <w:cantSplit w:val="true"/>
        </w:trPr>
        <w:tc>
          <w:tcPr>
            <w:tcW w:type="dxa" w:w="4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Интеграционное тестирование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10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  <w:tc>
          <w:tcPr>
            <w:tcW w:type="dxa" w:w="13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</w:t>
            </w:r>
          </w:p>
        </w:tc>
      </w:tr>
      <w:tr>
        <w:trPr>
          <w:cantSplit w:val="true"/>
        </w:trPr>
        <w:tc>
          <w:tcPr>
            <w:tcW w:type="dxa" w:w="4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Простота воспроизводимой сборки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10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  <w:tc>
          <w:tcPr>
            <w:tcW w:type="dxa" w:w="13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</w:tr>
      <w:tr>
        <w:trPr>
          <w:cantSplit w:val="true"/>
        </w:trPr>
        <w:tc>
          <w:tcPr>
            <w:tcW w:type="dxa" w:w="4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Взвешенный итог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100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4,90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3,15</w:t>
            </w:r>
          </w:p>
        </w:tc>
        <w:tc>
          <w:tcPr>
            <w:tcW w:type="dxa" w:w="13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4,10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 w:cs="Times New Roman"/>
          <w:sz w:val="28"/>
        </w:rPr>
        <w:t>NestJS привлекателен единым языком TypeScript на frontend и backend, модульной архитектурой, guards и удобным быстрым стартом. Он хорошо подходит для I/O-нагруженных API и позволяет выбирать Express либо Fastify. Однако для требуемой session-аутентификации необходимо согласовать несколько отдельных механизмов и middleware, а итоговая поставка зависит от Node.js и не соответствует формату JAR. Для данного проекта преимущество общего языка не компенсирует менее прямое выполнение требований безопасности и упаковки.</w:t>
      </w:r>
    </w:p>
    <w:p>
      <w:r>
        <w:rPr>
          <w:rFonts w:ascii="Times New Roman" w:hAnsi="Times New Roman" w:eastAsia="Times New Roman" w:cs="Times New Roman"/>
          <w:sz w:val="28"/>
        </w:rPr>
        <w:t>ASP.NET Core является наиболее близким конкурентом Spring Boot. Он предлагает строгую типизацию C#, встроенный dependency injection, развитую модель middleware, средства авторизации, тестирования и высокопроизводительный сервер Kestrel. При выборе экосистемы .NET это было бы полноценное production-решение. Его итоговая оценка ниже только из-за целевого формата поставки: приложение должно собираться средствами Maven и запускаться как Java JAR. Переход к .NET изменил бы модель сборки и формат артефакта, не добавляя необходимых предметных функций.</w:t>
      </w:r>
    </w:p>
    <w:p>
      <w:r>
        <w:rPr>
          <w:rFonts w:ascii="Times New Roman" w:hAnsi="Times New Roman" w:eastAsia="Times New Roman" w:cs="Times New Roman"/>
          <w:sz w:val="28"/>
        </w:rPr>
        <w:t>Spring Boot получил наибольшую оценку как наиболее цельное решение для заданных условий. Spring Security объединяет session-аутентификацию, CSRF, разграничение ролей и обработку отказов в одном фильтровом конвейере. Spring MVC и Bean Validation обеспечивают типизированные входные контракты и единообразную проверку запросов. Spring Data JPA и декларативные транзакции согласуются с нормализованной моделью каталога, optimistic locking и PostgreSQL. Spring Boot Test, JUnit и MockMvc позволяют проверять API вместе с контекстом безопасности и базой данных. Наконец, Maven фиксирует версии зависимостей, а Spring Boot Maven Plugin создаёт единый исполняемый JAR с сервером и frontend-ресурсами. Таким образом, Spring Boot выбран по совокупности преимуществ в безопасности, целостности данных, тестируемости и простоте поставки.</w:t>
      </w:r>
    </w:p>
    <w:p>
      <w:r>
        <w:rPr>
          <w:rFonts w:ascii="Times New Roman" w:hAnsi="Times New Roman" w:eastAsia="Times New Roman" w:cs="Times New Roman"/>
          <w:sz w:val="28"/>
        </w:rPr>
        <w:t>Для production-профиля сравнивались PostgreSQL, MySQL и SQLite. PostgreSQL и MySQL поддерживают транзакции, ограничения и многопользовательскую работу. PostgreSQL выбран благодаря строгой реляционной модели, развитым ограничениям целостности, MVCC и поддержке стандартных уровней изоляции. Эти свойства соответствуют административному CRUD и optimistic locking. MySQL остаётся допустимой альтернативой, но потребовал бы отдельной проверки SQL-совместимости миграций. SQLite удобен как встраиваемый файл, однако не является целевой серверной СУБД для одновременной работы пользователей и администраторов.</w:t>
      </w:r>
    </w:p>
    <w:p>
      <w:r>
        <w:rPr>
          <w:rFonts w:ascii="Times New Roman" w:hAnsi="Times New Roman" w:eastAsia="Times New Roman" w:cs="Times New Roman"/>
          <w:sz w:val="28"/>
        </w:rPr>
        <w:t xml:space="preserve">H2 используется только в профилях </w:t>
      </w:r>
      <w:r>
        <w:rPr>
          <w:rFonts w:ascii="Courier New" w:hAnsi="Courier New" w:eastAsia="Courier New" w:cs="Courier New"/>
          <w:sz w:val="24"/>
        </w:rPr>
        <w:t>test</w:t>
      </w:r>
      <w:r>
        <w:rPr>
          <w:rFonts w:ascii="Times New Roman" w:hAnsi="Times New Roman" w:eastAsia="Times New Roman" w:cs="Times New Roman"/>
          <w:sz w:val="28"/>
        </w:rPr>
        <w:t xml:space="preserve"> и </w:t>
      </w:r>
      <w:r>
        <w:rPr>
          <w:rFonts w:ascii="Courier New" w:hAnsi="Courier New" w:eastAsia="Courier New" w:cs="Courier New"/>
          <w:sz w:val="24"/>
        </w:rPr>
        <w:t>demo</w:t>
      </w:r>
      <w:r>
        <w:rPr>
          <w:rFonts w:ascii="Times New Roman" w:hAnsi="Times New Roman" w:eastAsia="Times New Roman" w:cs="Times New Roman"/>
          <w:sz w:val="28"/>
        </w:rPr>
        <w:t>: она запускается без установки СУБД и позволяет показать сохраняемые данные на защите. Такое разделение сочетает простой демонстрационный запуск и корректную production-архитектуру. Flyway выбран единственным владельцем схемы, потому что версионируемые миграции воспроизводимы и применимы как к чистой, так и к существующей базе; Hibernate настроен на проверку схемы, а не на её неявное изменение.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</w:rPr>
        <w:t>2.8 Выбор способа сборки и развёртывания</w:t>
      </w:r>
    </w:p>
    <w:p>
      <w:r>
        <w:rPr>
          <w:rFonts w:ascii="Times New Roman" w:hAnsi="Times New Roman" w:eastAsia="Times New Roman" w:cs="Times New Roman"/>
          <w:sz w:val="28"/>
        </w:rPr>
        <w:t>Рассматривались два варианта: независимые frontend и backend с отдельными серверами либо модульный монолит в одном JAR. Раздельное развёртывание полезно, когда части масштабируются независимо, имеют разные команды сопровождения или требуют CDN. Для ThermoSelect эти преимущества не компенсируют настройку двух поставок, CORS, отдельных адресов и координацию версий API.</w:t>
      </w:r>
    </w:p>
    <w:p>
      <w:r>
        <w:rPr>
          <w:rFonts w:ascii="Times New Roman" w:hAnsi="Times New Roman" w:eastAsia="Times New Roman" w:cs="Times New Roman"/>
          <w:sz w:val="28"/>
        </w:rPr>
        <w:t xml:space="preserve">Выбран единый исполняемый JAR. Maven устанавливает закреплённый Node, выполняет </w:t>
      </w:r>
      <w:r>
        <w:rPr>
          <w:rFonts w:ascii="Courier New" w:hAnsi="Courier New" w:eastAsia="Courier New" w:cs="Courier New"/>
          <w:sz w:val="24"/>
        </w:rPr>
        <w:t>npm ci</w:t>
      </w:r>
      <w:r>
        <w:rPr>
          <w:rFonts w:ascii="Times New Roman" w:hAnsi="Times New Roman" w:eastAsia="Times New Roman" w:cs="Times New Roman"/>
          <w:sz w:val="28"/>
        </w:rPr>
        <w:t>, React-тесты и Vite build, копирует статические файлы и только затем упаковывает Spring Boot. В результате одной командой проверяются обе части, а демонстрация требует один процесс. Микросервисное разбиение также отклонено: авторизация, каталог и администрирование используют одну транзакционную модель и не имеют независимой нагрузки, поэтому распределённые сессии, сетевые отказы и несколько баз данных создали бы сложность без пользы для задания.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8"/>
        </w:rPr>
        <w:t>3 ПРОЕКТИРОВАНИЕ БАЗЫ ДАННЫХ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</w:rPr>
        <w:t>3.1 Концептуальная модель</w:t>
      </w:r>
    </w:p>
    <w:p>
      <w:r>
        <w:rPr>
          <w:rFonts w:ascii="Times New Roman" w:hAnsi="Times New Roman" w:eastAsia="Times New Roman" w:cs="Times New Roman"/>
          <w:sz w:val="28"/>
        </w:rPr>
        <w:t xml:space="preserve">Центральная сущность </w:t>
      </w:r>
      <w:r>
        <w:rPr>
          <w:rFonts w:ascii="Courier New" w:hAnsi="Courier New" w:eastAsia="Courier New" w:cs="Courier New"/>
          <w:sz w:val="24"/>
        </w:rPr>
        <w:t>heat_exchangers</w:t>
      </w:r>
      <w:r>
        <w:rPr>
          <w:rFonts w:ascii="Times New Roman" w:hAnsi="Times New Roman" w:eastAsia="Times New Roman" w:cs="Times New Roman"/>
          <w:sz w:val="28"/>
        </w:rPr>
        <w:t xml:space="preserve"> связана с производителем, областями применения, материалами, типоспецифичными фактами, источниками и температурно-барическими ограничениями. Пользователи хранятся отдельно, поскольку их жизненный цикл не зависит от каталога.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3429"/>
            <wp:docPr id="3" name="Picture 3" descr="Рисунок 2 – Концептуальная и даталогическая модел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3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  <w:sz w:val="24"/>
        </w:rPr>
        <w:t>Рисунок 2 – Концептуальная и даталогическая модель</w:t>
      </w:r>
    </w:p>
    <w:p>
      <w:r>
        <w:rPr>
          <w:rFonts w:ascii="Times New Roman" w:hAnsi="Times New Roman" w:eastAsia="Times New Roman" w:cs="Times New Roman"/>
          <w:sz w:val="28"/>
        </w:rPr>
        <w:t>Модель разделяет общие фильтруемые атрибуты и специальные факты. Это позволяет эффективно выполнять числовые ограничения и не расширять таблицу отдельным столбцом для каждой конструктивной особенности.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</w:rPr>
        <w:t>3.2 Состав таблиц</w:t>
      </w:r>
    </w:p>
    <w:tbl>
      <w:tblPr>
        <w:tblStyle w:val="TableGrid"/>
        <w:tblW w:type="dxa" w:w="969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2555"/>
        <w:gridCol w:w="3171"/>
        <w:gridCol w:w="3964"/>
      </w:tblGrid>
      <w:tr>
        <w:trPr>
          <w:tblHeader w:val="true"/>
          <w:cantSplit w:val="true"/>
        </w:trPr>
        <w:tc>
          <w:tcPr>
            <w:tcW w:type="dxa" w:w="25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Таблица</w:t>
            </w:r>
          </w:p>
        </w:tc>
        <w:tc>
          <w:tcPr>
            <w:tcW w:type="dxa" w:w="31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Назначение</w:t>
            </w:r>
          </w:p>
        </w:tc>
        <w:tc>
          <w:tcPr>
            <w:tcW w:type="dxa" w:w="39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Основные поля</w:t>
            </w:r>
          </w:p>
        </w:tc>
      </w:tr>
      <w:tr>
        <w:trPr>
          <w:cantSplit w:val="true"/>
        </w:trPr>
        <w:tc>
          <w:tcPr>
            <w:tcW w:type="dxa" w:w="25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users</w:t>
            </w:r>
          </w:p>
        </w:tc>
        <w:tc>
          <w:tcPr>
            <w:tcW w:type="dxa" w:w="31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учётные записи и роли</w:t>
            </w:r>
          </w:p>
        </w:tc>
        <w:tc>
          <w:tcPr>
            <w:tcW w:type="dxa" w:w="39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username, email, password_hash, role, enabled, version</w:t>
            </w:r>
          </w:p>
        </w:tc>
      </w:tr>
      <w:tr>
        <w:trPr>
          <w:cantSplit w:val="true"/>
        </w:trPr>
        <w:tc>
          <w:tcPr>
            <w:tcW w:type="dxa" w:w="25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manufacturers</w:t>
            </w:r>
          </w:p>
        </w:tc>
        <w:tc>
          <w:tcPr>
            <w:tcW w:type="dxa" w:w="31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производители</w:t>
            </w:r>
          </w:p>
        </w:tc>
        <w:tc>
          <w:tcPr>
            <w:tcW w:type="dxa" w:w="39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name, country, website_url, version</w:t>
            </w:r>
          </w:p>
        </w:tc>
      </w:tr>
      <w:tr>
        <w:trPr>
          <w:cantSplit w:val="true"/>
        </w:trPr>
        <w:tc>
          <w:tcPr>
            <w:tcW w:type="dxa" w:w="25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heat_exchangers</w:t>
            </w:r>
          </w:p>
        </w:tc>
        <w:tc>
          <w:tcPr>
            <w:tcW w:type="dxa" w:w="31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общие параметры карточки</w:t>
            </w:r>
          </w:p>
        </w:tc>
        <w:tc>
          <w:tcPr>
            <w:tcW w:type="dxa" w:w="39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slug, family, model, granularity, status, площадь, расход, температура, максимальное давление, габариты, масса, version</w:t>
            </w:r>
          </w:p>
        </w:tc>
      </w:tr>
      <w:tr>
        <w:trPr>
          <w:cantSplit w:val="true"/>
        </w:trPr>
        <w:tc>
          <w:tcPr>
            <w:tcW w:type="dxa" w:w="25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applications</w:t>
            </w:r>
          </w:p>
        </w:tc>
        <w:tc>
          <w:tcPr>
            <w:tcW w:type="dxa" w:w="31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справочник применений</w:t>
            </w:r>
          </w:p>
        </w:tc>
        <w:tc>
          <w:tcPr>
            <w:tcW w:type="dxa" w:w="39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code, name</w:t>
            </w:r>
          </w:p>
        </w:tc>
      </w:tr>
      <w:tr>
        <w:trPr>
          <w:cantSplit w:val="true"/>
        </w:trPr>
        <w:tc>
          <w:tcPr>
            <w:tcW w:type="dxa" w:w="25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materials</w:t>
            </w:r>
          </w:p>
        </w:tc>
        <w:tc>
          <w:tcPr>
            <w:tcW w:type="dxa" w:w="31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справочник материалов</w:t>
            </w:r>
          </w:p>
        </w:tc>
        <w:tc>
          <w:tcPr>
            <w:tcW w:type="dxa" w:w="39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code, name</w:t>
            </w:r>
          </w:p>
        </w:tc>
      </w:tr>
      <w:tr>
        <w:trPr>
          <w:cantSplit w:val="true"/>
        </w:trPr>
        <w:tc>
          <w:tcPr>
            <w:tcW w:type="dxa" w:w="25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heat_exchanger_applications</w:t>
            </w:r>
          </w:p>
        </w:tc>
        <w:tc>
          <w:tcPr>
            <w:tcW w:type="dxa" w:w="31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M:N аппаратов и применений</w:t>
            </w:r>
          </w:p>
        </w:tc>
        <w:tc>
          <w:tcPr>
            <w:tcW w:type="dxa" w:w="39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heat_exchanger_id, application_id</w:t>
            </w:r>
          </w:p>
        </w:tc>
      </w:tr>
      <w:tr>
        <w:trPr>
          <w:cantSplit w:val="true"/>
        </w:trPr>
        <w:tc>
          <w:tcPr>
            <w:tcW w:type="dxa" w:w="25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heat_exchanger_materials</w:t>
            </w:r>
          </w:p>
        </w:tc>
        <w:tc>
          <w:tcPr>
            <w:tcW w:type="dxa" w:w="31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M:N аппаратов и материалов</w:t>
            </w:r>
          </w:p>
        </w:tc>
        <w:tc>
          <w:tcPr>
            <w:tcW w:type="dxa" w:w="39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heat_exchanger_id, material_id</w:t>
            </w:r>
          </w:p>
        </w:tc>
      </w:tr>
      <w:tr>
        <w:trPr>
          <w:cantSplit w:val="true"/>
        </w:trPr>
        <w:tc>
          <w:tcPr>
            <w:tcW w:type="dxa" w:w="25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specification_facts</w:t>
            </w:r>
          </w:p>
        </w:tc>
        <w:tc>
          <w:tcPr>
            <w:tcW w:type="dxa" w:w="31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специальные свойства</w:t>
            </w:r>
          </w:p>
        </w:tc>
        <w:tc>
          <w:tcPr>
            <w:tcW w:type="dxa" w:w="39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fact_key, label, value, unit, sort_order</w:t>
            </w:r>
          </w:p>
        </w:tc>
      </w:tr>
      <w:tr>
        <w:trPr>
          <w:cantSplit w:val="true"/>
        </w:trPr>
        <w:tc>
          <w:tcPr>
            <w:tcW w:type="dxa" w:w="25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source_references</w:t>
            </w:r>
          </w:p>
        </w:tc>
        <w:tc>
          <w:tcPr>
            <w:tcW w:type="dxa" w:w="31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источники</w:t>
            </w:r>
          </w:p>
        </w:tc>
        <w:tc>
          <w:tcPr>
            <w:tcW w:type="dxa" w:w="39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title, url, checked_on, measurement_basis</w:t>
            </w:r>
          </w:p>
        </w:tc>
      </w:tr>
      <w:tr>
        <w:trPr>
          <w:cantSplit w:val="true"/>
        </w:trPr>
        <w:tc>
          <w:tcPr>
            <w:tcW w:type="dxa" w:w="25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pressure_limits</w:t>
            </w:r>
          </w:p>
        </w:tc>
        <w:tc>
          <w:tcPr>
            <w:tcW w:type="dxa" w:w="31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точки температурно-барической кривой</w:t>
            </w:r>
          </w:p>
        </w:tc>
        <w:tc>
          <w:tcPr>
            <w:tcW w:type="dxa" w:w="39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temperature_c, max_pressure_bar, note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</w:rPr>
        <w:t>3.3 Целостность и версии</w:t>
      </w:r>
    </w:p>
    <w:p>
      <w:r>
        <w:rPr>
          <w:rFonts w:ascii="Times New Roman" w:hAnsi="Times New Roman" w:eastAsia="Times New Roman" w:cs="Times New Roman"/>
          <w:sz w:val="28"/>
        </w:rPr>
        <w:t xml:space="preserve">Уникальные ограничения установлены для имени производителя, кодов справочников, username, email и slug. Внешние ключи предотвращают появление фактов или источников без родительской записи. Поле </w:t>
      </w:r>
      <w:r>
        <w:rPr>
          <w:rFonts w:ascii="Courier New" w:hAnsi="Courier New" w:eastAsia="Courier New" w:cs="Courier New"/>
          <w:sz w:val="24"/>
        </w:rPr>
        <w:t>version</w:t>
      </w:r>
      <w:r>
        <w:rPr>
          <w:rFonts w:ascii="Times New Roman" w:hAnsi="Times New Roman" w:eastAsia="Times New Roman" w:cs="Times New Roman"/>
          <w:sz w:val="28"/>
        </w:rPr>
        <w:t xml:space="preserve"> используется JPA для optimistic locking: если два администратора открыли одну форму, сохранение устаревшей версии завершается конфликтом HTTP 409.</w:t>
      </w:r>
    </w:p>
    <w:p>
      <w:r>
        <w:rPr>
          <w:rFonts w:ascii="Times New Roman" w:hAnsi="Times New Roman" w:eastAsia="Times New Roman" w:cs="Times New Roman"/>
          <w:sz w:val="28"/>
        </w:rPr>
        <w:t xml:space="preserve">Статусы </w:t>
      </w:r>
      <w:r>
        <w:rPr>
          <w:rFonts w:ascii="Courier New" w:hAnsi="Courier New" w:eastAsia="Courier New" w:cs="Courier New"/>
          <w:sz w:val="24"/>
        </w:rPr>
        <w:t>DRAFT</w:t>
      </w:r>
      <w:r>
        <w:rPr>
          <w:rFonts w:ascii="Times New Roman" w:hAnsi="Times New Roman" w:eastAsia="Times New Roman" w:cs="Times New Roman"/>
          <w:sz w:val="28"/>
        </w:rPr>
        <w:t xml:space="preserve">, </w:t>
      </w:r>
      <w:r>
        <w:rPr>
          <w:rFonts w:ascii="Courier New" w:hAnsi="Courier New" w:eastAsia="Courier New" w:cs="Courier New"/>
          <w:sz w:val="24"/>
        </w:rPr>
        <w:t>PUBLISHED</w:t>
      </w:r>
      <w:r>
        <w:rPr>
          <w:rFonts w:ascii="Times New Roman" w:hAnsi="Times New Roman" w:eastAsia="Times New Roman" w:cs="Times New Roman"/>
          <w:sz w:val="28"/>
        </w:rPr>
        <w:t xml:space="preserve"> и </w:t>
      </w:r>
      <w:r>
        <w:rPr>
          <w:rFonts w:ascii="Courier New" w:hAnsi="Courier New" w:eastAsia="Courier New" w:cs="Courier New"/>
          <w:sz w:val="24"/>
        </w:rPr>
        <w:t>ARCHIVED</w:t>
      </w:r>
      <w:r>
        <w:rPr>
          <w:rFonts w:ascii="Times New Roman" w:hAnsi="Times New Roman" w:eastAsia="Times New Roman" w:cs="Times New Roman"/>
          <w:sz w:val="28"/>
        </w:rPr>
        <w:t xml:space="preserve"> отделяют подготовку данных от пользовательского каталога. Физическое удаление аппарата не выполняется: DELETE переводит запись в </w:t>
      </w:r>
      <w:r>
        <w:rPr>
          <w:rFonts w:ascii="Courier New" w:hAnsi="Courier New" w:eastAsia="Courier New" w:cs="Courier New"/>
          <w:sz w:val="24"/>
        </w:rPr>
        <w:t>ARCHIVED</w:t>
      </w:r>
      <w:r>
        <w:rPr>
          <w:rFonts w:ascii="Times New Roman" w:hAnsi="Times New Roman" w:eastAsia="Times New Roman" w:cs="Times New Roman"/>
          <w:sz w:val="28"/>
        </w:rPr>
        <w:t>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8"/>
        </w:rPr>
        <w:t>4 АРХИТЕКТУРА И РЕАЛИЗАЦИЯ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</w:rPr>
        <w:t>4.1 Компонентная схема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1621952"/>
            <wp:docPr id="4" name="Picture 4" descr="Рисунок 3 – Компоненты приложе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2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  <w:sz w:val="24"/>
        </w:rPr>
        <w:t>Рисунок 3 – Компоненты приложения</w:t>
      </w:r>
    </w:p>
    <w:p>
      <w:r>
        <w:rPr>
          <w:rFonts w:ascii="Times New Roman" w:hAnsi="Times New Roman" w:eastAsia="Times New Roman" w:cs="Times New Roman"/>
          <w:sz w:val="28"/>
        </w:rPr>
        <w:t xml:space="preserve">React-приложение собирается Vite в статические ресурсы Spring Boot. В production браузер обращается к UI и API с одного origin. Maven устанавливает закреплённый Node, выполняет </w:t>
      </w:r>
      <w:r>
        <w:rPr>
          <w:rFonts w:ascii="Courier New" w:hAnsi="Courier New" w:eastAsia="Courier New" w:cs="Courier New"/>
          <w:sz w:val="24"/>
        </w:rPr>
        <w:t>npm ci</w:t>
      </w:r>
      <w:r>
        <w:rPr>
          <w:rFonts w:ascii="Times New Roman" w:hAnsi="Times New Roman" w:eastAsia="Times New Roman" w:cs="Times New Roman"/>
          <w:sz w:val="28"/>
        </w:rPr>
        <w:t>, тесты и сборку frontend, затем Spring Boot Maven Plugin формирует исполняемый JAR.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</w:rPr>
        <w:t>4.2 Backend</w:t>
      </w:r>
    </w:p>
    <w:p>
      <w:r>
        <w:rPr>
          <w:rFonts w:ascii="Times New Roman" w:hAnsi="Times New Roman" w:eastAsia="Times New Roman" w:cs="Times New Roman"/>
          <w:sz w:val="28"/>
        </w:rPr>
        <w:t xml:space="preserve">Backend разделён на контроллеры, сервисы, репозитории и JPA-модель. Пользовательские endpoint не возвращают DRAFT и ARCHIVED. Административный DTO требует текущую </w:t>
      </w:r>
      <w:r>
        <w:rPr>
          <w:rFonts w:ascii="Courier New" w:hAnsi="Courier New" w:eastAsia="Courier New" w:cs="Courier New"/>
          <w:sz w:val="24"/>
        </w:rPr>
        <w:t>version</w:t>
      </w:r>
      <w:r>
        <w:rPr>
          <w:rFonts w:ascii="Times New Roman" w:hAnsi="Times New Roman" w:eastAsia="Times New Roman" w:cs="Times New Roman"/>
          <w:sz w:val="28"/>
        </w:rPr>
        <w:t>, валидные справочные коды и хотя бы один источник.</w:t>
      </w:r>
    </w:p>
    <w:p>
      <w:r>
        <w:rPr>
          <w:rFonts w:ascii="Times New Roman" w:hAnsi="Times New Roman" w:eastAsia="Times New Roman" w:cs="Times New Roman"/>
          <w:sz w:val="28"/>
        </w:rPr>
        <w:t xml:space="preserve">Единый ответ ошибки имеет поля </w:t>
      </w:r>
      <w:r>
        <w:rPr>
          <w:rFonts w:ascii="Courier New" w:hAnsi="Courier New" w:eastAsia="Courier New" w:cs="Courier New"/>
          <w:sz w:val="24"/>
        </w:rPr>
        <w:t>timestamp</w:t>
      </w:r>
      <w:r>
        <w:rPr>
          <w:rFonts w:ascii="Times New Roman" w:hAnsi="Times New Roman" w:eastAsia="Times New Roman" w:cs="Times New Roman"/>
          <w:sz w:val="28"/>
        </w:rPr>
        <w:t xml:space="preserve">, </w:t>
      </w:r>
      <w:r>
        <w:rPr>
          <w:rFonts w:ascii="Courier New" w:hAnsi="Courier New" w:eastAsia="Courier New" w:cs="Courier New"/>
          <w:sz w:val="24"/>
        </w:rPr>
        <w:t>status</w:t>
      </w:r>
      <w:r>
        <w:rPr>
          <w:rFonts w:ascii="Times New Roman" w:hAnsi="Times New Roman" w:eastAsia="Times New Roman" w:cs="Times New Roman"/>
          <w:sz w:val="28"/>
        </w:rPr>
        <w:t xml:space="preserve">, </w:t>
      </w:r>
      <w:r>
        <w:rPr>
          <w:rFonts w:ascii="Courier New" w:hAnsi="Courier New" w:eastAsia="Courier New" w:cs="Courier New"/>
          <w:sz w:val="24"/>
        </w:rPr>
        <w:t>error</w:t>
      </w:r>
      <w:r>
        <w:rPr>
          <w:rFonts w:ascii="Times New Roman" w:hAnsi="Times New Roman" w:eastAsia="Times New Roman" w:cs="Times New Roman"/>
          <w:sz w:val="28"/>
        </w:rPr>
        <w:t xml:space="preserve">, </w:t>
      </w:r>
      <w:r>
        <w:rPr>
          <w:rFonts w:ascii="Courier New" w:hAnsi="Courier New" w:eastAsia="Courier New" w:cs="Courier New"/>
          <w:sz w:val="24"/>
        </w:rPr>
        <w:t>code</w:t>
      </w:r>
      <w:r>
        <w:rPr>
          <w:rFonts w:ascii="Times New Roman" w:hAnsi="Times New Roman" w:eastAsia="Times New Roman" w:cs="Times New Roman"/>
          <w:sz w:val="28"/>
        </w:rPr>
        <w:t xml:space="preserve">, </w:t>
      </w:r>
      <w:r>
        <w:rPr>
          <w:rFonts w:ascii="Courier New" w:hAnsi="Courier New" w:eastAsia="Courier New" w:cs="Courier New"/>
          <w:sz w:val="24"/>
        </w:rPr>
        <w:t>message</w:t>
      </w:r>
      <w:r>
        <w:rPr>
          <w:rFonts w:ascii="Times New Roman" w:hAnsi="Times New Roman" w:eastAsia="Times New Roman" w:cs="Times New Roman"/>
          <w:sz w:val="28"/>
        </w:rPr>
        <w:t xml:space="preserve">, </w:t>
      </w:r>
      <w:r>
        <w:rPr>
          <w:rFonts w:ascii="Courier New" w:hAnsi="Courier New" w:eastAsia="Courier New" w:cs="Courier New"/>
          <w:sz w:val="24"/>
        </w:rPr>
        <w:t>details</w:t>
      </w:r>
      <w:r>
        <w:rPr>
          <w:rFonts w:ascii="Times New Roman" w:hAnsi="Times New Roman" w:eastAsia="Times New Roman" w:cs="Times New Roman"/>
          <w:sz w:val="28"/>
        </w:rPr>
        <w:t xml:space="preserve"> и </w:t>
      </w:r>
      <w:r>
        <w:rPr>
          <w:rFonts w:ascii="Courier New" w:hAnsi="Courier New" w:eastAsia="Courier New" w:cs="Courier New"/>
          <w:sz w:val="24"/>
        </w:rPr>
        <w:t>path</w:t>
      </w:r>
      <w:r>
        <w:rPr>
          <w:rFonts w:ascii="Times New Roman" w:hAnsi="Times New Roman" w:eastAsia="Times New Roman" w:cs="Times New Roman"/>
          <w:sz w:val="28"/>
        </w:rPr>
        <w:t>. Предметные коды позволяют frontend различать ошибки валидации, CSRF, отсутствие сущности и конфликт версии.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</w:rPr>
        <w:t>4.3 Frontend</w:t>
      </w:r>
    </w:p>
    <w:p>
      <w:r>
        <w:rPr>
          <w:rFonts w:ascii="Times New Roman" w:hAnsi="Times New Roman" w:eastAsia="Times New Roman" w:cs="Times New Roman"/>
          <w:sz w:val="28"/>
        </w:rPr>
        <w:t>Frontend написан на JavaScript с JSDoc-контрактами. React Router разделяет публичные, пользовательские и административные маршруты. AuthContext загружает CSRF и текущего пользователя, CompareContext хранит до четырёх идентификаторов. Redux и UI-фреймворк не используются.</w:t>
      </w:r>
    </w:p>
    <w:p>
      <w:r>
        <w:rPr>
          <w:rFonts w:ascii="Times New Roman" w:hAnsi="Times New Roman" w:eastAsia="Times New Roman" w:cs="Times New Roman"/>
          <w:sz w:val="28"/>
        </w:rPr>
        <w:t>Каталог синхронизирует фильтры с URL. На мобильном экране фильтры превращаются в выдвижную панель, а сравнение допускает горизонтальную прокрутку. Каталог, карточка и сравнение используют единый формат чисел: не более одного знака после запятой, а размеры в миллиметрах округляются до целых. Служебные проценты и технические метки заполнения пользователю не выводятся.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</w:rPr>
        <w:t>4.4 Авторизация и безопасность</w:t>
      </w:r>
    </w:p>
    <w:p>
      <w:r>
        <w:rPr>
          <w:rFonts w:ascii="Times New Roman" w:hAnsi="Times New Roman" w:eastAsia="Times New Roman" w:cs="Times New Roman"/>
          <w:sz w:val="28"/>
        </w:rPr>
        <w:t xml:space="preserve">Пароли хранятся как BCrypt-хеши. До изменяющего запроса клиент получает CSRF-токен. При JSON-входе вызывается </w:t>
      </w:r>
      <w:r>
        <w:rPr>
          <w:rFonts w:ascii="Courier New" w:hAnsi="Courier New" w:eastAsia="Courier New" w:cs="Courier New"/>
          <w:sz w:val="24"/>
        </w:rPr>
        <w:t>ChangeSessionIdAuthenticationStrategy</w:t>
      </w:r>
      <w:r>
        <w:rPr>
          <w:rFonts w:ascii="Times New Roman" w:hAnsi="Times New Roman" w:eastAsia="Times New Roman" w:cs="Times New Roman"/>
          <w:sz w:val="28"/>
        </w:rPr>
        <w:t>, SecurityContext явно сохраняется в HttpSession, а использованный токен инвалидируется.</w:t>
      </w:r>
    </w:p>
    <w:p>
      <w:r>
        <w:rPr>
          <w:rFonts w:ascii="Times New Roman" w:hAnsi="Times New Roman" w:eastAsia="Times New Roman" w:cs="Times New Roman"/>
          <w:sz w:val="28"/>
        </w:rPr>
        <w:t xml:space="preserve">Cookie сессии имеет </w:t>
      </w:r>
      <w:r>
        <w:rPr>
          <w:rFonts w:ascii="Courier New" w:hAnsi="Courier New" w:eastAsia="Courier New" w:cs="Courier New"/>
          <w:sz w:val="24"/>
        </w:rPr>
        <w:t>HttpOnly</w:t>
      </w:r>
      <w:r>
        <w:rPr>
          <w:rFonts w:ascii="Times New Roman" w:hAnsi="Times New Roman" w:eastAsia="Times New Roman" w:cs="Times New Roman"/>
          <w:sz w:val="28"/>
        </w:rPr>
        <w:t xml:space="preserve"> и </w:t>
      </w:r>
      <w:r>
        <w:rPr>
          <w:rFonts w:ascii="Courier New" w:hAnsi="Courier New" w:eastAsia="Courier New" w:cs="Courier New"/>
          <w:sz w:val="24"/>
        </w:rPr>
        <w:t>SameSite=Lax</w:t>
      </w:r>
      <w:r>
        <w:rPr>
          <w:rFonts w:ascii="Times New Roman" w:hAnsi="Times New Roman" w:eastAsia="Times New Roman" w:cs="Times New Roman"/>
          <w:sz w:val="28"/>
        </w:rPr>
        <w:t>. В production профиль PostgreSQL по умолчанию требует secure cookie. Фильтр защищённых запросов перечитывает пользователя из БД, поэтому блокировка, удаление или смена роли действуют без ожидания истечения старой сессии.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</w:rPr>
        <w:t>4.5 Профили выполнения</w:t>
      </w:r>
    </w:p>
    <w:tbl>
      <w:tblPr>
        <w:tblStyle w:val="TableGrid"/>
        <w:tblW w:type="dxa" w:w="969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454"/>
        <w:gridCol w:w="3876"/>
        <w:gridCol w:w="4360"/>
      </w:tblGrid>
      <w:tr>
        <w:trPr>
          <w:tblHeader w:val="true"/>
          <w:cantSplit w:val="true"/>
        </w:trPr>
        <w:tc>
          <w:tcPr>
            <w:tcW w:type="dxa" w:w="14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Профиль</w:t>
            </w:r>
          </w:p>
        </w:tc>
        <w:tc>
          <w:tcPr>
            <w:tcW w:type="dxa" w:w="38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База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14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test</w:t>
            </w:r>
          </w:p>
        </w:tc>
        <w:tc>
          <w:tcPr>
            <w:tcW w:type="dxa" w:w="38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H2 in-memory в режиме PostgreSQL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автоматические тесты</w:t>
            </w:r>
          </w:p>
        </w:tc>
      </w:tr>
      <w:tr>
        <w:trPr>
          <w:cantSplit w:val="true"/>
        </w:trPr>
        <w:tc>
          <w:tcPr>
            <w:tcW w:type="dxa" w:w="14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demo</w:t>
            </w:r>
          </w:p>
        </w:tc>
        <w:tc>
          <w:tcPr>
            <w:tcW w:type="dxa" w:w="38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файловая H2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локальный запуск, данные сохраняются</w:t>
            </w:r>
          </w:p>
        </w:tc>
      </w:tr>
      <w:tr>
        <w:trPr>
          <w:cantSplit w:val="true"/>
        </w:trPr>
        <w:tc>
          <w:tcPr>
            <w:tcW w:type="dxa" w:w="14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postgres</w:t>
            </w:r>
          </w:p>
        </w:tc>
        <w:tc>
          <w:tcPr>
            <w:tcW w:type="dxa" w:w="38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внешняя PostgreSQL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эксплуатационный запуск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8"/>
        </w:rPr>
        <w:t>5 АЛГОРИТМ ПОИСКА И РАНЖИРОВАНИЯ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</w:rPr>
        <w:t>5.1 Последовательность обработки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1036864"/>
            <wp:docPr id="5" name="Picture 5" descr="Рисунок 4 – Блок-схема поиска и ранжирова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ion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36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  <w:sz w:val="24"/>
        </w:rPr>
        <w:t>Рисунок 4 – Блок-схема поиска и ранжирования</w:t>
      </w:r>
    </w:p>
    <w:p>
      <w:r>
        <w:rPr>
          <w:rFonts w:ascii="Times New Roman" w:hAnsi="Times New Roman" w:eastAsia="Times New Roman" w:cs="Times New Roman"/>
          <w:sz w:val="28"/>
        </w:rPr>
        <w:t>Сначала запрос нормализуется: пустые наборы и строки не считаются активными критериями, размер страницы ограничивается. Затем применяются статус, семейство, производитель, применение, материал и числовые требования. После строгой фильтрации рассчитывается служебный коэффициент, используемый только для порядка записей.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</w:rPr>
        <w:t>5.2 Формула внутреннего упорядочивания</w:t>
      </w:r>
    </w:p>
    <w:p>
      <w:r>
        <w:rPr>
          <w:rFonts w:ascii="Times New Roman" w:hAnsi="Times New Roman" w:eastAsia="Times New Roman" w:cs="Times New Roman"/>
          <w:sz w:val="28"/>
        </w:rPr>
        <w:t>Исходные веса групп: текст — 30, применение — 20, материалы — 10, числовая близость — 30, достоверность гранулярности — 10. В расчёт включаются только активные группы.</w:t>
      </w:r>
    </w:p>
    <w:p>
      <w:r>
        <w:rPr>
          <w:rFonts w:ascii="Times New Roman" w:hAnsi="Times New Roman" w:eastAsia="Times New Roman" w:cs="Times New Roman"/>
          <w:sz w:val="28"/>
        </w:rPr>
        <w:t>Итоговый коэффициент определяется выражением:</w:t>
      </w:r>
    </w:p>
    <w:p>
      <w:r>
        <w:rPr>
          <w:rFonts w:ascii="Courier New" w:hAnsi="Courier New" w:eastAsia="Courier New" w:cs="Courier New"/>
          <w:sz w:val="24"/>
        </w:rPr>
        <w:t>Score = 100 × Σ(w_i × s_i) / Σ(w_i)</w:t>
      </w:r>
      <w:r>
        <w:rPr>
          <w:rFonts w:ascii="Times New Roman" w:hAnsi="Times New Roman" w:eastAsia="Times New Roman" w:cs="Times New Roman"/>
          <w:sz w:val="28"/>
        </w:rPr>
        <w:t>,</w:t>
      </w:r>
    </w:p>
    <w:p>
      <w:r>
        <w:rPr>
          <w:rFonts w:ascii="Times New Roman" w:hAnsi="Times New Roman" w:eastAsia="Times New Roman" w:cs="Times New Roman"/>
          <w:sz w:val="28"/>
        </w:rPr>
        <w:t xml:space="preserve">где </w:t>
      </w:r>
      <w:r>
        <w:rPr>
          <w:rFonts w:ascii="Courier New" w:hAnsi="Courier New" w:eastAsia="Courier New" w:cs="Courier New"/>
          <w:sz w:val="24"/>
        </w:rPr>
        <w:t>w_i</w:t>
      </w:r>
      <w:r>
        <w:rPr>
          <w:rFonts w:ascii="Times New Roman" w:hAnsi="Times New Roman" w:eastAsia="Times New Roman" w:cs="Times New Roman"/>
          <w:sz w:val="28"/>
        </w:rPr>
        <w:t xml:space="preserve"> — вес активной группы, </w:t>
      </w:r>
      <w:r>
        <w:rPr>
          <w:rFonts w:ascii="Courier New" w:hAnsi="Courier New" w:eastAsia="Courier New" w:cs="Courier New"/>
          <w:sz w:val="24"/>
        </w:rPr>
        <w:t>s_i</w:t>
      </w:r>
      <w:r>
        <w:rPr>
          <w:rFonts w:ascii="Times New Roman" w:hAnsi="Times New Roman" w:eastAsia="Times New Roman" w:cs="Times New Roman"/>
          <w:sz w:val="28"/>
        </w:rPr>
        <w:t xml:space="preserve"> — частная оценка от 0 до 1. Нормализация не штрафует запрос за критерий, который пользователь не задавал.</w:t>
      </w:r>
    </w:p>
    <w:p>
      <w:r>
        <w:rPr>
          <w:rFonts w:ascii="Times New Roman" w:hAnsi="Times New Roman" w:eastAsia="Times New Roman" w:cs="Times New Roman"/>
          <w:sz w:val="28"/>
        </w:rPr>
        <w:t>Числовая близость учитывает запас относительно требования. EXACT_CONFIGURATION получает наибольшую оценку достоверности, SERIES — наименьшую. При равном коэффициенте выше располагается запись с большей полнотой, затем используется алфавитный порядок производителя и модели. Служебное значение не выводится пользователю как процент совпадения.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</w:rPr>
        <w:t>5.3 Объяснимость</w:t>
      </w:r>
    </w:p>
    <w:p>
      <w:r>
        <w:rPr>
          <w:rFonts w:ascii="Times New Roman" w:hAnsi="Times New Roman" w:eastAsia="Times New Roman" w:cs="Times New Roman"/>
          <w:sz w:val="28"/>
        </w:rPr>
        <w:t>Для диагностики API может формировать текстовые причины: соответствие модели или производителя, область применения, материал, достаточный запас параметра и гранулярность записи. Пользовательский интерфейс оставляет только полезные паспортные сведения и не показывает служебные проценты или технические метки заполнения.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8"/>
        </w:rPr>
        <w:t>6 ТЕСТИРОВАНИЕ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</w:rPr>
        <w:t>6.1 Стратегия</w:t>
      </w:r>
    </w:p>
    <w:p>
      <w:r>
        <w:rPr>
          <w:rFonts w:ascii="Times New Roman" w:hAnsi="Times New Roman" w:eastAsia="Times New Roman" w:cs="Times New Roman"/>
          <w:sz w:val="28"/>
        </w:rPr>
        <w:t xml:space="preserve">Java integration-тесты поднимают Spring context, применяют Flyway и проверяют репозитории, сервисы, HTTP и Spring Security. React-тесты используют Vitest и Testing Library. Полная команда </w:t>
      </w:r>
      <w:r>
        <w:rPr>
          <w:rFonts w:ascii="Courier New" w:hAnsi="Courier New" w:eastAsia="Courier New" w:cs="Courier New"/>
          <w:sz w:val="24"/>
        </w:rPr>
        <w:t>mvnw.cmd clean verify</w:t>
      </w:r>
      <w:r>
        <w:rPr>
          <w:rFonts w:ascii="Times New Roman" w:hAnsi="Times New Roman" w:eastAsia="Times New Roman" w:cs="Times New Roman"/>
          <w:sz w:val="28"/>
        </w:rPr>
        <w:t xml:space="preserve"> не требует отдельно установленного Maven или Node.</w:t>
      </w:r>
    </w:p>
    <w:tbl>
      <w:tblPr>
        <w:tblStyle w:val="TableGrid"/>
        <w:tblW w:type="dxa" w:w="969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2040"/>
        <w:gridCol w:w="7650"/>
      </w:tblGrid>
      <w:tr>
        <w:trPr>
          <w:tblHeader w:val="true"/>
          <w:cantSplit w:val="true"/>
        </w:trPr>
        <w:tc>
          <w:tcPr>
            <w:tcW w:type="dxa" w:w="2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Группа</w:t>
            </w:r>
          </w:p>
        </w:tc>
        <w:tc>
          <w:tcPr>
            <w:tcW w:type="dxa" w:w="7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Проверяемые сценарии</w:t>
            </w:r>
          </w:p>
        </w:tc>
      </w:tr>
      <w:tr>
        <w:trPr>
          <w:cantSplit w:val="true"/>
        </w:trPr>
        <w:tc>
          <w:tcPr>
            <w:tcW w:type="dxa" w:w="2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Auth</w:t>
            </w:r>
          </w:p>
        </w:tc>
        <w:tc>
          <w:tcPr>
            <w:tcW w:type="dxa" w:w="7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CSRF, регистрация, duplicate email, вход, session fixation, роли, отзыв сессии</w:t>
            </w:r>
          </w:p>
        </w:tc>
      </w:tr>
      <w:tr>
        <w:trPr>
          <w:cantSplit w:val="true"/>
        </w:trPr>
        <w:tc>
          <w:tcPr>
            <w:tcW w:type="dxa" w:w="2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Catalog</w:t>
            </w:r>
          </w:p>
        </w:tc>
        <w:tc>
          <w:tcPr>
            <w:tcW w:type="dxa" w:w="7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50 записей, полнота полей, фильтры, пагинация, сравнение, Excel-выгрузка</w:t>
            </w:r>
          </w:p>
        </w:tc>
      </w:tr>
      <w:tr>
        <w:trPr>
          <w:cantSplit w:val="true"/>
        </w:trPr>
        <w:tc>
          <w:tcPr>
            <w:tcW w:type="dxa" w:w="2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Admin</w:t>
            </w:r>
          </w:p>
        </w:tc>
        <w:tc>
          <w:tcPr>
            <w:tcW w:type="dxa" w:w="7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CRUD, публикация, архивирование, optimistic lock</w:t>
            </w:r>
          </w:p>
        </w:tc>
      </w:tr>
      <w:tr>
        <w:trPr>
          <w:cantSplit w:val="true"/>
        </w:trPr>
        <w:tc>
          <w:tcPr>
            <w:tcW w:type="dxa" w:w="2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Frontend</w:t>
            </w:r>
          </w:p>
        </w:tc>
        <w:tc>
          <w:tcPr>
            <w:tcW w:type="dxa" w:w="7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AuthContext, параметры фильтра, лимит сравнения</w:t>
            </w:r>
          </w:p>
        </w:tc>
      </w:tr>
      <w:tr>
        <w:trPr>
          <w:cantSplit w:val="true"/>
        </w:trPr>
        <w:tc>
          <w:tcPr>
            <w:tcW w:type="dxa" w:w="2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Packaging</w:t>
            </w:r>
          </w:p>
        </w:tc>
        <w:tc>
          <w:tcPr>
            <w:tcW w:type="dxa" w:w="7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npm build, static resources, исполняемый JAR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</w:rPr>
        <w:t>6.2 Проверка полноты данных</w:t>
      </w:r>
    </w:p>
    <w:p>
      <w:r>
        <w:rPr>
          <w:rFonts w:ascii="Times New Roman" w:hAnsi="Times New Roman" w:eastAsia="Times New Roman" w:cs="Times New Roman"/>
          <w:sz w:val="28"/>
        </w:rPr>
        <w:t>Автоматический тест требует, чтобы у каждой из 50 записей были заполнены площадь, минимальный и максимальный расход, температура, максимальное давление, ширина, высота, глубина, масса и хотя бы две точки температурно-барической кривой. Также проверяются URL и дата источника, наличие российских моделей и возможность открыть сформированную Excel-книгу.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</w:rPr>
        <w:t>6.3 Ожидаемый результат</w:t>
      </w:r>
    </w:p>
    <w:p>
      <w:r>
        <w:rPr>
          <w:rFonts w:ascii="Times New Roman" w:hAnsi="Times New Roman" w:eastAsia="Times New Roman" w:cs="Times New Roman"/>
          <w:sz w:val="28"/>
        </w:rPr>
        <w:t xml:space="preserve">Успешная сборка заканчивается </w:t>
      </w:r>
      <w:r>
        <w:rPr>
          <w:rFonts w:ascii="Courier New" w:hAnsi="Courier New" w:eastAsia="Courier New" w:cs="Courier New"/>
          <w:sz w:val="24"/>
        </w:rPr>
        <w:t>BUILD SUCCESS</w:t>
      </w:r>
      <w:r>
        <w:rPr>
          <w:rFonts w:ascii="Times New Roman" w:hAnsi="Times New Roman" w:eastAsia="Times New Roman" w:cs="Times New Roman"/>
          <w:sz w:val="28"/>
        </w:rPr>
        <w:t xml:space="preserve">. XML и текстовые результаты Java находятся в </w:t>
      </w:r>
      <w:r>
        <w:rPr>
          <w:rFonts w:ascii="Courier New" w:hAnsi="Courier New" w:eastAsia="Courier New" w:cs="Courier New"/>
          <w:sz w:val="24"/>
        </w:rPr>
        <w:t>target/surefire-reports</w:t>
      </w:r>
      <w:r>
        <w:rPr>
          <w:rFonts w:ascii="Times New Roman" w:hAnsi="Times New Roman" w:eastAsia="Times New Roman" w:cs="Times New Roman"/>
          <w:sz w:val="28"/>
        </w:rPr>
        <w:t xml:space="preserve">, frontend-вывод — в журнале Maven. Итоговый JAR создаётся в </w:t>
      </w:r>
      <w:r>
        <w:rPr>
          <w:rFonts w:ascii="Courier New" w:hAnsi="Courier New" w:eastAsia="Courier New" w:cs="Courier New"/>
          <w:sz w:val="24"/>
        </w:rPr>
        <w:t>Авторизация/target/</w:t>
      </w:r>
      <w:r>
        <w:rPr>
          <w:rFonts w:ascii="Times New Roman" w:hAnsi="Times New Roman" w:eastAsia="Times New Roman" w:cs="Times New Roman"/>
          <w:sz w:val="28"/>
        </w:rPr>
        <w:t>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8"/>
        </w:rPr>
        <w:t>7 ЗАПУСК И ЭКСПЛУАТАЦИЯ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</w:rPr>
        <w:t>7.1 Локальный запуск</w:t>
      </w:r>
    </w:p>
    <w:p>
      <w:pPr>
        <w:spacing w:line="240" w:lineRule="auto" w:before="80" w:after="120"/>
        <w:ind w:firstLine="0" w:left="397"/>
        <w:jc w:val="left"/>
      </w:pPr>
      <w:r>
        <w:rPr>
          <w:rFonts w:ascii="Courier New" w:hAnsi="Courier New" w:eastAsia="Courier New" w:cs="Courier New"/>
          <w:sz w:val="16"/>
        </w:rPr>
        <w:t>cd .\Авторизация</w:t>
        <w:br/>
        <w:t>.\run-demo.ps1</w:t>
      </w:r>
    </w:p>
    <w:p>
      <w:r>
        <w:rPr>
          <w:rFonts w:ascii="Times New Roman" w:hAnsi="Times New Roman" w:eastAsia="Times New Roman" w:cs="Times New Roman"/>
          <w:sz w:val="28"/>
        </w:rPr>
        <w:t xml:space="preserve">После сборки интерфейс доступен на </w:t>
      </w:r>
      <w:r>
        <w:rPr>
          <w:rFonts w:ascii="Courier New" w:hAnsi="Courier New" w:eastAsia="Courier New" w:cs="Courier New"/>
          <w:sz w:val="24"/>
        </w:rPr>
        <w:t>http://localhost:8080</w:t>
      </w:r>
      <w:r>
        <w:rPr>
          <w:rFonts w:ascii="Times New Roman" w:hAnsi="Times New Roman" w:eastAsia="Times New Roman" w:cs="Times New Roman"/>
          <w:sz w:val="28"/>
        </w:rPr>
        <w:t xml:space="preserve">. Локальные учётные записи: </w:t>
      </w:r>
      <w:r>
        <w:rPr>
          <w:rFonts w:ascii="Courier New" w:hAnsi="Courier New" w:eastAsia="Courier New" w:cs="Courier New"/>
          <w:sz w:val="24"/>
        </w:rPr>
        <w:t>demo/demo12345</w:t>
      </w:r>
      <w:r>
        <w:rPr>
          <w:rFonts w:ascii="Times New Roman" w:hAnsi="Times New Roman" w:eastAsia="Times New Roman" w:cs="Times New Roman"/>
          <w:sz w:val="28"/>
        </w:rPr>
        <w:t xml:space="preserve"> и </w:t>
      </w:r>
      <w:r>
        <w:rPr>
          <w:rFonts w:ascii="Courier New" w:hAnsi="Courier New" w:eastAsia="Courier New" w:cs="Courier New"/>
          <w:sz w:val="24"/>
        </w:rPr>
        <w:t>admin/admin12345</w:t>
      </w:r>
      <w:r>
        <w:rPr>
          <w:rFonts w:ascii="Times New Roman" w:hAnsi="Times New Roman" w:eastAsia="Times New Roman" w:cs="Times New Roman"/>
          <w:sz w:val="28"/>
        </w:rPr>
        <w:t>. Скрипт совместим с Windows PowerShell 5.1 и PowerShell 7.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</w:rPr>
        <w:t>7.2 Просмотр тестов</w:t>
      </w:r>
    </w:p>
    <w:p>
      <w:pPr>
        <w:spacing w:line="240" w:lineRule="auto" w:before="80" w:after="120"/>
        <w:ind w:firstLine="0" w:left="397"/>
        <w:jc w:val="left"/>
      </w:pPr>
      <w:r>
        <w:rPr>
          <w:rFonts w:ascii="Courier New" w:hAnsi="Courier New" w:eastAsia="Courier New" w:cs="Courier New"/>
          <w:sz w:val="16"/>
        </w:rPr>
        <w:t>cd .\Авторизация</w:t>
        <w:br/>
        <w:t>.\mvnw.cmd clean verify</w:t>
        <w:br/>
        <w:t>Get-ChildItem .\target\surefire-reports</w:t>
        <w:br/>
        <w:t>Get-Content .\target\surefire-reports\*.txt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</w:rPr>
        <w:t>7.3 Просмотр журналов</w:t>
      </w:r>
    </w:p>
    <w:p>
      <w:pPr>
        <w:spacing w:line="240" w:lineRule="auto" w:before="80" w:after="120"/>
        <w:ind w:firstLine="0" w:left="397"/>
        <w:jc w:val="left"/>
      </w:pPr>
      <w:r>
        <w:rPr>
          <w:rFonts w:ascii="Courier New" w:hAnsi="Courier New" w:eastAsia="Courier New" w:cs="Courier New"/>
          <w:sz w:val="16"/>
        </w:rPr>
        <w:t>Get-Content .\Авторизация\logs\thermoselect.log -Tail 100</w:t>
        <w:br/>
        <w:t>Get-Content .\Авторизация\logs\thermoselect.log -Tail 50 -Wait</w:t>
      </w:r>
    </w:p>
    <w:p>
      <w:r>
        <w:rPr>
          <w:rFonts w:ascii="Times New Roman" w:hAnsi="Times New Roman" w:eastAsia="Times New Roman" w:cs="Times New Roman"/>
          <w:sz w:val="28"/>
        </w:rPr>
        <w:t>Журнал ротируется, хранится семь дней и не включается в Git. Отчёт по тестам хранится отдельно от runtime-журнала.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8"/>
        </w:rPr>
        <w:t>ЗАКЛЮЧЕНИЕ</w:t>
      </w:r>
    </w:p>
    <w:p>
      <w:r>
        <w:rPr>
          <w:rFonts w:ascii="Times New Roman" w:hAnsi="Times New Roman" w:eastAsia="Times New Roman" w:cs="Times New Roman"/>
          <w:sz w:val="28"/>
        </w:rPr>
        <w:t>В ходе учебной практики разработана full-stack система ThermoSelect, соответствующая индивидуальному заданию. Проведён анализ предметной области и официальных каталогов, построены модели БД и UML, реализованы алгоритм поиска, пользовательский интерфейс, серверное API, защита сессий и административные функции.</w:t>
      </w:r>
    </w:p>
    <w:p>
      <w:r>
        <w:rPr>
          <w:rFonts w:ascii="Times New Roman" w:hAnsi="Times New Roman" w:eastAsia="Times New Roman" w:cs="Times New Roman"/>
          <w:sz w:val="28"/>
        </w:rPr>
        <w:t>Каталог объединяет 50 записей разных конструкций, включая российские модели и советские типоразмеры. Общие характеристики унифицированы, числовые значения показываются с разумной точностью, а найденные аппараты можно выгрузить в Excel. Проект собирается одной командой в исполняемый JAR и сопровождается тестами, журналами, инструкциями и материалами защиты.</w:t>
      </w:r>
    </w:p>
    <w:p>
      <w:r>
        <w:rPr>
          <w:rFonts w:ascii="Times New Roman" w:hAnsi="Times New Roman" w:eastAsia="Times New Roman" w:cs="Times New Roman"/>
          <w:sz w:val="28"/>
        </w:rPr>
        <w:t>Дальнейшее развитие может включать полноценный тепловой расчёт с заданными средами и температурным графиком, импорт паспортов, историю поисков и избранное. Эти функции требуют отдельной валидации и не входят в текущую информационно-поисковую версию.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8"/>
        </w:rPr>
        <w:t>СПИСОК ИСПОЛЬЗОВАННЫХ ИСТОЧНИКОВ</w:t>
      </w:r>
    </w:p>
    <w:p>
      <w:pPr>
        <w:pStyle w:val="ListNumber"/>
      </w:pPr>
      <w:r>
        <w:rPr>
          <w:rFonts w:ascii="Times New Roman" w:hAnsi="Times New Roman" w:eastAsia="Times New Roman" w:cs="Times New Roman"/>
          <w:sz w:val="28"/>
        </w:rPr>
        <w:t>Spring Boot Reference Documentation. URL: https://docs.spring.io/spring-boot/4.1-SNAPSHOT/reference/ (дата обращения: 13.07.2026).</w:t>
      </w:r>
    </w:p>
    <w:p>
      <w:pPr>
        <w:pStyle w:val="ListNumber"/>
      </w:pPr>
      <w:r>
        <w:rPr>
          <w:rFonts w:ascii="Times New Roman" w:hAnsi="Times New Roman" w:eastAsia="Times New Roman" w:cs="Times New Roman"/>
          <w:sz w:val="28"/>
        </w:rPr>
        <w:t>Spring Security CSRF. URL: https://docs.spring.io/spring-security/reference/servlet/exploits/csrf.html (дата обращения: 13.07.2026).</w:t>
      </w:r>
    </w:p>
    <w:p>
      <w:pPr>
        <w:pStyle w:val="ListNumber"/>
      </w:pPr>
      <w:r>
        <w:rPr>
          <w:rFonts w:ascii="Times New Roman" w:hAnsi="Times New Roman" w:eastAsia="Times New Roman" w:cs="Times New Roman"/>
          <w:sz w:val="28"/>
        </w:rPr>
        <w:t>React Documentation. URL: https://react.dev/ (дата обращения: 13.07.2026).</w:t>
      </w:r>
    </w:p>
    <w:p>
      <w:pPr>
        <w:pStyle w:val="ListNumber"/>
      </w:pPr>
      <w:r>
        <w:rPr>
          <w:rFonts w:ascii="Times New Roman" w:hAnsi="Times New Roman" w:eastAsia="Times New Roman" w:cs="Times New Roman"/>
          <w:sz w:val="28"/>
        </w:rPr>
        <w:t>Vite Build Guide. URL: https://vite.dev/guide/build (дата обращения: 13.07.2026).</w:t>
      </w:r>
    </w:p>
    <w:p>
      <w:pPr>
        <w:pStyle w:val="ListNumber"/>
      </w:pPr>
      <w:r>
        <w:rPr>
          <w:rFonts w:ascii="Times New Roman" w:hAnsi="Times New Roman" w:eastAsia="Times New Roman" w:cs="Times New Roman"/>
          <w:sz w:val="28"/>
        </w:rPr>
        <w:t>Alfa Laval Fast Track. URL: https://shop.alfalaval.com/en-us/gasketed-plate-heat-exchangers--2244334 (дата обращения: 13.07.2026).</w:t>
      </w:r>
    </w:p>
    <w:p>
      <w:pPr>
        <w:pStyle w:val="ListNumber"/>
      </w:pPr>
      <w:r>
        <w:rPr>
          <w:rFonts w:ascii="Times New Roman" w:hAnsi="Times New Roman" w:eastAsia="Times New Roman" w:cs="Times New Roman"/>
          <w:sz w:val="28"/>
        </w:rPr>
        <w:t>Danfoss BPHE B3-012, 111B6315. URL: https://designcenter.danfoss.com/products/climate-solutions-for-cooling/heat-exchangers/brazed-plate-heat-exchangers/fishbone-brazed-plate-heat-exchangers/bphe-b3/p/111B6315 (дата обращения: 13.07.2026).</w:t>
      </w:r>
    </w:p>
    <w:p>
      <w:pPr>
        <w:pStyle w:val="ListNumber"/>
      </w:pPr>
      <w:r>
        <w:rPr>
          <w:rFonts w:ascii="Times New Roman" w:hAnsi="Times New Roman" w:eastAsia="Times New Roman" w:cs="Times New Roman"/>
          <w:sz w:val="28"/>
        </w:rPr>
        <w:t>Kelvion Gasketed Plate Heat Exchangers. URL: https://www.kelvion.com/products/plate-heat-exchangers/gasketed-plate-heat-exchangers/ (дата обращения: 13.07.2026).</w:t>
      </w:r>
    </w:p>
    <w:p>
      <w:pPr>
        <w:pStyle w:val="ListNumber"/>
      </w:pPr>
      <w:r>
        <w:rPr>
          <w:rFonts w:ascii="Times New Roman" w:hAnsi="Times New Roman" w:eastAsia="Times New Roman" w:cs="Times New Roman"/>
          <w:sz w:val="28"/>
        </w:rPr>
        <w:t>SWEP All-Stainless. URL: https://www.swepgroup.com/challenge-efficiency/technology/swep-all-stainless (дата обращения: 13.07.2026).</w:t>
      </w:r>
    </w:p>
    <w:p>
      <w:pPr>
        <w:pStyle w:val="ListNumber"/>
      </w:pPr>
      <w:r>
        <w:rPr>
          <w:rFonts w:ascii="Times New Roman" w:hAnsi="Times New Roman" w:eastAsia="Times New Roman" w:cs="Times New Roman"/>
          <w:sz w:val="28"/>
        </w:rPr>
        <w:t>API Heat Transfer Basco Type 500. URL: https://www.apiheattransfer.com/product/type-500/ (дата обращения: 13.07.2026).</w:t>
      </w:r>
    </w:p>
    <w:p>
      <w:pPr>
        <w:pStyle w:val="ListNumber"/>
      </w:pPr>
      <w:r>
        <w:rPr>
          <w:rFonts w:ascii="Times New Roman" w:hAnsi="Times New Roman" w:eastAsia="Times New Roman" w:cs="Times New Roman"/>
          <w:sz w:val="28"/>
        </w:rPr>
        <w:t>Kelvion Flatbed Condenser / Drycooler. URL: https://www.kelvion.com/products/heat-rejection-heat-recovery-solutions/flatbed-condensers-/-drycooler (дата обращения: 13.07.2026).</w:t>
      </w:r>
    </w:p>
    <w:p>
      <w:pPr>
        <w:pStyle w:val="ListNumber"/>
      </w:pPr>
      <w:r>
        <w:rPr>
          <w:rFonts w:ascii="Times New Roman" w:hAnsi="Times New Roman" w:eastAsia="Times New Roman" w:cs="Times New Roman"/>
          <w:sz w:val="28"/>
        </w:rPr>
        <w:t>Alfa Laval SHE LTL product leaflet. URL: https://assets.alfalaval.com/documents/pc168354a/alfa-laval-product-leaflet-she-ltl-en.pdf (дата обращения: 13.07.2026).</w:t>
      </w:r>
    </w:p>
    <w:p>
      <w:pPr>
        <w:pStyle w:val="ListNumber"/>
      </w:pPr>
      <w:r>
        <w:rPr>
          <w:rFonts w:ascii="Times New Roman" w:hAnsi="Times New Roman" w:eastAsia="Times New Roman" w:cs="Times New Roman"/>
          <w:sz w:val="28"/>
        </w:rPr>
        <w:t>Alfa Laval SHE Cond product leaflet. URL: https://assets.alfalaval.com/documents/p36beedba/alfa-laval-product-leaflet-she-cond-en.pdf (дата обращения: 13.07.2026).</w:t>
      </w:r>
    </w:p>
    <w:p>
      <w:pPr>
        <w:pStyle w:val="ListNumber"/>
      </w:pPr>
      <w:r>
        <w:rPr>
          <w:rFonts w:ascii="Times New Roman" w:hAnsi="Times New Roman" w:eastAsia="Times New Roman" w:cs="Times New Roman"/>
          <w:sz w:val="28"/>
        </w:rPr>
        <w:t>Ридан. Каталог разборных пластинчатых теплообменников НН. URL: https://oldteploobmennik.ridan.ru/products/catalog-rpto/ (дата обращения: 16.07.2026).</w:t>
      </w:r>
    </w:p>
    <w:p>
      <w:pPr>
        <w:pStyle w:val="ListNumber"/>
      </w:pPr>
      <w:r>
        <w:rPr>
          <w:rFonts w:ascii="Times New Roman" w:hAnsi="Times New Roman" w:eastAsia="Times New Roman" w:cs="Times New Roman"/>
          <w:sz w:val="28"/>
        </w:rPr>
        <w:t>Каталог кожухотрубных теплообменников, холодильников и испарителей советского типоряда. URL: https://ohladiteli.nt-rt.ru/images/manuals/teploobmennik.pdf (дата обращения: 16.07.2026).</w:t>
      </w:r>
    </w:p>
    <w:p>
      <w:pPr>
        <w:pStyle w:val="ListNumber"/>
      </w:pPr>
      <w:r>
        <w:rPr>
          <w:rFonts w:ascii="Times New Roman" w:hAnsi="Times New Roman" w:eastAsia="Times New Roman" w:cs="Times New Roman"/>
          <w:sz w:val="28"/>
        </w:rPr>
        <w:t>Angular Documentation. What is Angular? URL: https://angular.dev/overview (дата обращения: 13.07.2026).</w:t>
      </w:r>
    </w:p>
    <w:p>
      <w:pPr>
        <w:pStyle w:val="ListNumber"/>
      </w:pPr>
      <w:r>
        <w:rPr>
          <w:rFonts w:ascii="Times New Roman" w:hAnsi="Times New Roman" w:eastAsia="Times New Roman" w:cs="Times New Roman"/>
          <w:sz w:val="28"/>
        </w:rPr>
        <w:t>Vue.js Guide. Introduction. URL: https://vuejs.org/guide/introduction (дата обращения: 13.07.2026).</w:t>
      </w:r>
    </w:p>
    <w:p>
      <w:pPr>
        <w:pStyle w:val="ListNumber"/>
      </w:pPr>
      <w:r>
        <w:rPr>
          <w:rFonts w:ascii="Times New Roman" w:hAnsi="Times New Roman" w:eastAsia="Times New Roman" w:cs="Times New Roman"/>
          <w:sz w:val="28"/>
        </w:rPr>
        <w:t>NestJS Documentation. First steps. URL: https://docs.nestjs.com/first-steps (дата обращения: 13.07.2026).</w:t>
      </w:r>
    </w:p>
    <w:p>
      <w:pPr>
        <w:pStyle w:val="ListNumber"/>
      </w:pPr>
      <w:r>
        <w:rPr>
          <w:rFonts w:ascii="Times New Roman" w:hAnsi="Times New Roman" w:eastAsia="Times New Roman" w:cs="Times New Roman"/>
          <w:sz w:val="28"/>
        </w:rPr>
        <w:t>Microsoft Learn. Overview of ASP.NET Core. URL: https://learn.microsoft.com/en-us/aspnet/core/overview (дата обращения: 13.07.2026).</w:t>
      </w:r>
    </w:p>
    <w:p>
      <w:pPr>
        <w:pStyle w:val="ListNumber"/>
      </w:pPr>
      <w:r>
        <w:rPr>
          <w:rFonts w:ascii="Times New Roman" w:hAnsi="Times New Roman" w:eastAsia="Times New Roman" w:cs="Times New Roman"/>
          <w:sz w:val="28"/>
        </w:rPr>
        <w:t>PostgreSQL. About. URL: https://www.postgresql.org/about/ (дата обращения: 13.07.2026).</w:t>
      </w:r>
    </w:p>
    <w:p>
      <w:pPr>
        <w:pStyle w:val="ListNumber"/>
      </w:pPr>
      <w:r>
        <w:rPr>
          <w:rFonts w:ascii="Times New Roman" w:hAnsi="Times New Roman" w:eastAsia="Times New Roman" w:cs="Times New Roman"/>
          <w:sz w:val="28"/>
        </w:rPr>
        <w:t>MySQL 8.4 Reference Manual. Transactional and Locking Statements. URL: https://dev.mysql.com/doc/en-us/mysql-8.4-en/innodb-transaction-model.html (дата обращения: 13.07.2026).</w:t>
      </w:r>
    </w:p>
    <w:p>
      <w:pPr>
        <w:pStyle w:val="ListNumber"/>
      </w:pPr>
      <w:r>
        <w:rPr>
          <w:rFonts w:ascii="Times New Roman" w:hAnsi="Times New Roman" w:eastAsia="Times New Roman" w:cs="Times New Roman"/>
          <w:sz w:val="28"/>
        </w:rPr>
        <w:t>Electron Documentation. Introduction. URL: https://www.electronjs.org/docs/latest/ (дата обращения: 13.07.2026).</w:t>
      </w:r>
    </w:p>
    <w:p>
      <w:pPr>
        <w:pStyle w:val="ListNumber"/>
      </w:pPr>
      <w:r>
        <w:rPr>
          <w:rFonts w:ascii="Times New Roman" w:hAnsi="Times New Roman" w:eastAsia="Times New Roman" w:cs="Times New Roman"/>
          <w:sz w:val="28"/>
        </w:rPr>
        <w:t>Vite Guide. Why Vite. URL: https://vite.dev/guide/why (дата обращения: 13.07.2026).</w:t>
      </w:r>
    </w:p>
    <w:p>
      <w:pPr>
        <w:pStyle w:val="ListNumber"/>
      </w:pPr>
      <w:r>
        <w:rPr>
          <w:rFonts w:ascii="Times New Roman" w:hAnsi="Times New Roman" w:eastAsia="Times New Roman" w:cs="Times New Roman"/>
          <w:sz w:val="28"/>
        </w:rPr>
        <w:t>Spring Boot. Launching Executable Jars. URL: https://docs.spring.io/spring-boot/specification/executable-jar/launching.html (дата обращения: 13.07.2026).</w:t>
      </w:r>
    </w:p>
    <w:p>
      <w:r>
        <w:br w:type="page"/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8"/>
        </w:rPr>
        <w:t>ПРИЛОЖЕНИЕ А. МАТРИЦА API</w:t>
      </w:r>
    </w:p>
    <w:tbl>
      <w:tblPr>
        <w:tblStyle w:val="TableGrid"/>
        <w:tblW w:type="dxa" w:w="969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491"/>
        <w:gridCol w:w="4348"/>
        <w:gridCol w:w="3851"/>
      </w:tblGrid>
      <w:tr>
        <w:trPr>
          <w:tblHeader w:val="true"/>
          <w:cantSplit w:val="true"/>
        </w:trPr>
        <w:tc>
          <w:tcPr>
            <w:tcW w:type="dxa" w:w="14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Доступ</w:t>
            </w:r>
          </w:p>
        </w:tc>
        <w:tc>
          <w:tcPr>
            <w:tcW w:type="dxa" w:w="43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Endpoint</w:t>
            </w:r>
          </w:p>
        </w:tc>
        <w:tc>
          <w:tcPr>
            <w:tcW w:type="dxa" w:w="38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14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Public</w:t>
            </w:r>
          </w:p>
        </w:tc>
        <w:tc>
          <w:tcPr>
            <w:tcW w:type="dxa" w:w="43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GET /api/auth/csrf</w:t>
            </w:r>
          </w:p>
        </w:tc>
        <w:tc>
          <w:tcPr>
            <w:tcW w:type="dxa" w:w="38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получение CSRF</w:t>
            </w:r>
          </w:p>
        </w:tc>
      </w:tr>
      <w:tr>
        <w:trPr>
          <w:cantSplit w:val="true"/>
        </w:trPr>
        <w:tc>
          <w:tcPr>
            <w:tcW w:type="dxa" w:w="14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Public</w:t>
            </w:r>
          </w:p>
        </w:tc>
        <w:tc>
          <w:tcPr>
            <w:tcW w:type="dxa" w:w="43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POST /api/auth/register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/login</w:t>
            </w:r>
          </w:p>
        </w:tc>
        <w:tc>
          <w:tcPr>
            <w:tcW w:type="dxa" w:w="38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регистрация и вход</w:t>
            </w:r>
          </w:p>
        </w:tc>
      </w:tr>
      <w:tr>
        <w:trPr>
          <w:cantSplit w:val="true"/>
        </w:trPr>
        <w:tc>
          <w:tcPr>
            <w:tcW w:type="dxa" w:w="14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USER/ADMIN</w:t>
            </w:r>
          </w:p>
        </w:tc>
        <w:tc>
          <w:tcPr>
            <w:tcW w:type="dxa" w:w="43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GET /api/auth/me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POST /logout</w:t>
            </w:r>
          </w:p>
        </w:tc>
        <w:tc>
          <w:tcPr>
            <w:tcW w:type="dxa" w:w="38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профиль и выход</w:t>
            </w:r>
          </w:p>
        </w:tc>
      </w:tr>
      <w:tr>
        <w:trPr>
          <w:cantSplit w:val="true"/>
        </w:trPr>
        <w:tc>
          <w:tcPr>
            <w:tcW w:type="dxa" w:w="14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USER/ADMIN</w:t>
            </w:r>
          </w:p>
        </w:tc>
        <w:tc>
          <w:tcPr>
            <w:tcW w:type="dxa" w:w="43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POST /api/heat-exchangers/search</w:t>
            </w:r>
          </w:p>
        </w:tc>
        <w:tc>
          <w:tcPr>
            <w:tcW w:type="dxa" w:w="38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поиск и упорядочивание</w:t>
            </w:r>
          </w:p>
        </w:tc>
      </w:tr>
      <w:tr>
        <w:trPr>
          <w:cantSplit w:val="true"/>
        </w:trPr>
        <w:tc>
          <w:tcPr>
            <w:tcW w:type="dxa" w:w="14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USER/ADMIN</w:t>
            </w:r>
          </w:p>
        </w:tc>
        <w:tc>
          <w:tcPr>
            <w:tcW w:type="dxa" w:w="43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POST /api/heat-exchangers/export</w:t>
            </w:r>
          </w:p>
        </w:tc>
        <w:tc>
          <w:tcPr>
            <w:tcW w:type="dxa" w:w="38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Excel-выгрузка текущего фильтра</w:t>
            </w:r>
          </w:p>
        </w:tc>
      </w:tr>
      <w:tr>
        <w:trPr>
          <w:cantSplit w:val="true"/>
        </w:trPr>
        <w:tc>
          <w:tcPr>
            <w:tcW w:type="dxa" w:w="14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USER/ADMIN</w:t>
            </w:r>
          </w:p>
        </w:tc>
        <w:tc>
          <w:tcPr>
            <w:tcW w:type="dxa" w:w="43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GET /api/heat-exchangers/{slug}</w:t>
            </w:r>
          </w:p>
        </w:tc>
        <w:tc>
          <w:tcPr>
            <w:tcW w:type="dxa" w:w="38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карточка</w:t>
            </w:r>
          </w:p>
        </w:tc>
      </w:tr>
      <w:tr>
        <w:trPr>
          <w:cantSplit w:val="true"/>
        </w:trPr>
        <w:tc>
          <w:tcPr>
            <w:tcW w:type="dxa" w:w="14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USER/ADMIN</w:t>
            </w:r>
          </w:p>
        </w:tc>
        <w:tc>
          <w:tcPr>
            <w:tcW w:type="dxa" w:w="43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POST /api/heat-exchangers/compare</w:t>
            </w:r>
          </w:p>
        </w:tc>
        <w:tc>
          <w:tcPr>
            <w:tcW w:type="dxa" w:w="38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сравнение 2–4 позиций</w:t>
            </w:r>
          </w:p>
        </w:tc>
      </w:tr>
      <w:tr>
        <w:trPr>
          <w:cantSplit w:val="true"/>
        </w:trPr>
        <w:tc>
          <w:tcPr>
            <w:tcW w:type="dxa" w:w="14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ADMIN</w:t>
            </w:r>
          </w:p>
        </w:tc>
        <w:tc>
          <w:tcPr>
            <w:tcW w:type="dxa" w:w="43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/api/admin/heat-exchangers/**</w:t>
            </w:r>
          </w:p>
        </w:tc>
        <w:tc>
          <w:tcPr>
            <w:tcW w:type="dxa" w:w="38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CRUD и статусы</w:t>
            </w:r>
          </w:p>
        </w:tc>
      </w:tr>
      <w:tr>
        <w:trPr>
          <w:cantSplit w:val="true"/>
        </w:trPr>
        <w:tc>
          <w:tcPr>
            <w:tcW w:type="dxa" w:w="14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ADMIN</w:t>
            </w:r>
          </w:p>
        </w:tc>
        <w:tc>
          <w:tcPr>
            <w:tcW w:type="dxa" w:w="43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/api/admin/manufacturers/**</w:t>
            </w:r>
          </w:p>
        </w:tc>
        <w:tc>
          <w:tcPr>
            <w:tcW w:type="dxa" w:w="38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производители</w:t>
            </w:r>
          </w:p>
        </w:tc>
      </w:tr>
      <w:tr>
        <w:trPr>
          <w:cantSplit w:val="true"/>
        </w:trPr>
        <w:tc>
          <w:tcPr>
            <w:tcW w:type="dxa" w:w="14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ADMIN</w:t>
            </w:r>
          </w:p>
        </w:tc>
        <w:tc>
          <w:tcPr>
            <w:tcW w:type="dxa" w:w="43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/api/admin/users/**</w:t>
            </w:r>
          </w:p>
        </w:tc>
        <w:tc>
          <w:tcPr>
            <w:tcW w:type="dxa" w:w="38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роли, блокировка, удаление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8"/>
        </w:rPr>
        <w:t>ПРИЛОЖЕНИЕ Б. ОСНОВНЫЕ ТЕСТ-КЕЙСЫ</w:t>
      </w:r>
    </w:p>
    <w:tbl>
      <w:tblPr>
        <w:tblStyle w:val="TableGrid"/>
        <w:tblW w:type="dxa" w:w="969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307"/>
        <w:gridCol w:w="3593"/>
        <w:gridCol w:w="4790"/>
      </w:tblGrid>
      <w:tr>
        <w:trPr>
          <w:tblHeader w:val="true"/>
          <w:cantSplit w:val="true"/>
        </w:trPr>
        <w:tc>
          <w:tcPr>
            <w:tcW w:type="dxa" w:w="13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ID</w:t>
            </w:r>
          </w:p>
        </w:tc>
        <w:tc>
          <w:tcPr>
            <w:tcW w:type="dxa" w:w="35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Сценарий</w:t>
            </w:r>
          </w:p>
        </w:tc>
        <w:tc>
          <w:tcPr>
            <w:tcW w:type="dxa" w:w="47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E7E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Ожидаемый результат</w:t>
            </w:r>
          </w:p>
        </w:tc>
      </w:tr>
      <w:tr>
        <w:trPr>
          <w:cantSplit w:val="true"/>
        </w:trPr>
        <w:tc>
          <w:tcPr>
            <w:tcW w:type="dxa" w:w="13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AUTH-01</w:t>
            </w:r>
          </w:p>
        </w:tc>
        <w:tc>
          <w:tcPr>
            <w:tcW w:type="dxa" w:w="35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Регистрация с CSRF</w:t>
            </w:r>
          </w:p>
        </w:tc>
        <w:tc>
          <w:tcPr>
            <w:tcW w:type="dxa" w:w="47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201, роль USER, BCrypt-хеш</w:t>
            </w:r>
          </w:p>
        </w:tc>
      </w:tr>
      <w:tr>
        <w:trPr>
          <w:cantSplit w:val="true"/>
        </w:trPr>
        <w:tc>
          <w:tcPr>
            <w:tcW w:type="dxa" w:w="13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AUTH-02</w:t>
            </w:r>
          </w:p>
        </w:tc>
        <w:tc>
          <w:tcPr>
            <w:tcW w:type="dxa" w:w="35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Повторный email</w:t>
            </w:r>
          </w:p>
        </w:tc>
        <w:tc>
          <w:tcPr>
            <w:tcW w:type="dxa" w:w="47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 xml:space="preserve">409 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DUPLICATE_USER</w:t>
            </w:r>
          </w:p>
        </w:tc>
      </w:tr>
      <w:tr>
        <w:trPr>
          <w:cantSplit w:val="true"/>
        </w:trPr>
        <w:tc>
          <w:tcPr>
            <w:tcW w:type="dxa" w:w="13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AUTH-03</w:t>
            </w:r>
          </w:p>
        </w:tc>
        <w:tc>
          <w:tcPr>
            <w:tcW w:type="dxa" w:w="35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Вход</w:t>
            </w:r>
          </w:p>
        </w:tc>
        <w:tc>
          <w:tcPr>
            <w:tcW w:type="dxa" w:w="47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 xml:space="preserve">session ID изменён, 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/me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 xml:space="preserve"> доступен</w:t>
            </w:r>
          </w:p>
        </w:tc>
      </w:tr>
      <w:tr>
        <w:trPr>
          <w:cantSplit w:val="true"/>
        </w:trPr>
        <w:tc>
          <w:tcPr>
            <w:tcW w:type="dxa" w:w="13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AUTH-04</w:t>
            </w:r>
          </w:p>
        </w:tc>
        <w:tc>
          <w:tcPr>
            <w:tcW w:type="dxa" w:w="35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POST без CSRF</w:t>
            </w:r>
          </w:p>
        </w:tc>
        <w:tc>
          <w:tcPr>
            <w:tcW w:type="dxa" w:w="47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 xml:space="preserve">403 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CSRF_MISSING</w:t>
            </w:r>
          </w:p>
        </w:tc>
      </w:tr>
      <w:tr>
        <w:trPr>
          <w:cantSplit w:val="true"/>
        </w:trPr>
        <w:tc>
          <w:tcPr>
            <w:tcW w:type="dxa" w:w="13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AUTH-05</w:t>
            </w:r>
          </w:p>
        </w:tc>
        <w:tc>
          <w:tcPr>
            <w:tcW w:type="dxa" w:w="35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Блокировка активного пользователя</w:t>
            </w:r>
          </w:p>
        </w:tc>
        <w:tc>
          <w:tcPr>
            <w:tcW w:type="dxa" w:w="47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следующий запрос отклонён</w:t>
            </w:r>
          </w:p>
        </w:tc>
      </w:tr>
      <w:tr>
        <w:trPr>
          <w:cantSplit w:val="true"/>
        </w:trPr>
        <w:tc>
          <w:tcPr>
            <w:tcW w:type="dxa" w:w="13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CAT-01</w:t>
            </w:r>
          </w:p>
        </w:tc>
        <w:tc>
          <w:tcPr>
            <w:tcW w:type="dxa" w:w="35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Поиск без фильтров</w:t>
            </w:r>
          </w:p>
        </w:tc>
        <w:tc>
          <w:tcPr>
            <w:tcW w:type="dxa" w:w="47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50 опубликованных записей</w:t>
            </w:r>
          </w:p>
        </w:tc>
      </w:tr>
      <w:tr>
        <w:trPr>
          <w:cantSplit w:val="true"/>
        </w:trPr>
        <w:tc>
          <w:tcPr>
            <w:tcW w:type="dxa" w:w="13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CAT-02</w:t>
            </w:r>
          </w:p>
        </w:tc>
        <w:tc>
          <w:tcPr>
            <w:tcW w:type="dxa" w:w="35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Числовые требования</w:t>
            </w:r>
          </w:p>
        </w:tc>
        <w:tc>
          <w:tcPr>
            <w:tcW w:type="dxa" w:w="47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каждый результат покрывает ограничение</w:t>
            </w:r>
          </w:p>
        </w:tc>
      </w:tr>
      <w:tr>
        <w:trPr>
          <w:cantSplit w:val="true"/>
        </w:trPr>
        <w:tc>
          <w:tcPr>
            <w:tcW w:type="dxa" w:w="13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CAT-03</w:t>
            </w:r>
          </w:p>
        </w:tc>
        <w:tc>
          <w:tcPr>
            <w:tcW w:type="dxa" w:w="35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Полнота каталога</w:t>
            </w:r>
          </w:p>
        </w:tc>
        <w:tc>
          <w:tcPr>
            <w:tcW w:type="dxa" w:w="47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все общие поля заполнены</w:t>
            </w:r>
          </w:p>
        </w:tc>
      </w:tr>
      <w:tr>
        <w:trPr>
          <w:cantSplit w:val="true"/>
        </w:trPr>
        <w:tc>
          <w:tcPr>
            <w:tcW w:type="dxa" w:w="13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CAT-04</w:t>
            </w:r>
          </w:p>
        </w:tc>
        <w:tc>
          <w:tcPr>
            <w:tcW w:type="dxa" w:w="35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Сравнение четырёх</w:t>
            </w:r>
          </w:p>
        </w:tc>
        <w:tc>
          <w:tcPr>
            <w:tcW w:type="dxa" w:w="47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порядок сохранён, значения отображены</w:t>
            </w:r>
          </w:p>
        </w:tc>
      </w:tr>
      <w:tr>
        <w:trPr>
          <w:cantSplit w:val="true"/>
        </w:trPr>
        <w:tc>
          <w:tcPr>
            <w:tcW w:type="dxa" w:w="13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CAT-05</w:t>
            </w:r>
          </w:p>
        </w:tc>
        <w:tc>
          <w:tcPr>
            <w:tcW w:type="dxa" w:w="35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Экспорт отфильтрованной выдачи</w:t>
            </w:r>
          </w:p>
        </w:tc>
        <w:tc>
          <w:tcPr>
            <w:tcW w:type="dxa" w:w="47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валидная Excel-книга с теми же записями</w:t>
            </w:r>
          </w:p>
        </w:tc>
      </w:tr>
      <w:tr>
        <w:trPr>
          <w:cantSplit w:val="true"/>
        </w:trPr>
        <w:tc>
          <w:tcPr>
            <w:tcW w:type="dxa" w:w="13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ADM-01</w:t>
            </w:r>
          </w:p>
        </w:tc>
        <w:tc>
          <w:tcPr>
            <w:tcW w:type="dxa" w:w="35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Обновление с текущей version</w:t>
            </w:r>
          </w:p>
        </w:tc>
        <w:tc>
          <w:tcPr>
            <w:tcW w:type="dxa" w:w="47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200, version увеличена</w:t>
            </w:r>
          </w:p>
        </w:tc>
      </w:tr>
      <w:tr>
        <w:trPr>
          <w:cantSplit w:val="true"/>
        </w:trPr>
        <w:tc>
          <w:tcPr>
            <w:tcW w:type="dxa" w:w="13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ADM-02</w:t>
            </w:r>
          </w:p>
        </w:tc>
        <w:tc>
          <w:tcPr>
            <w:tcW w:type="dxa" w:w="35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Повтор устаревшего обновления</w:t>
            </w:r>
          </w:p>
        </w:tc>
        <w:tc>
          <w:tcPr>
            <w:tcW w:type="dxa" w:w="47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 xml:space="preserve">409 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OPTIMISTIC_LOCK_CONFLICT</w:t>
            </w:r>
          </w:p>
        </w:tc>
      </w:tr>
      <w:tr>
        <w:trPr>
          <w:cantSplit w:val="true"/>
        </w:trPr>
        <w:tc>
          <w:tcPr>
            <w:tcW w:type="dxa" w:w="13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ADM-03</w:t>
            </w:r>
          </w:p>
        </w:tc>
        <w:tc>
          <w:tcPr>
            <w:tcW w:type="dxa" w:w="35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Удаление аппарата</w:t>
            </w:r>
          </w:p>
        </w:tc>
        <w:tc>
          <w:tcPr>
            <w:tcW w:type="dxa" w:w="47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статус ARCHIVED, физическая запись сохранена</w:t>
            </w:r>
          </w:p>
        </w:tc>
      </w:tr>
      <w:tr>
        <w:trPr>
          <w:cantSplit w:val="true"/>
        </w:trPr>
        <w:tc>
          <w:tcPr>
            <w:tcW w:type="dxa" w:w="13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UI-01</w:t>
            </w:r>
          </w:p>
        </w:tc>
        <w:tc>
          <w:tcPr>
            <w:tcW w:type="dxa" w:w="35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Пятый элемент сравнения</w:t>
            </w:r>
          </w:p>
        </w:tc>
        <w:tc>
          <w:tcPr>
            <w:tcW w:type="dxa" w:w="47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отклонён с сообщением</w:t>
            </w:r>
          </w:p>
        </w:tc>
      </w:tr>
      <w:tr>
        <w:trPr>
          <w:cantSplit w:val="true"/>
        </w:trPr>
        <w:tc>
          <w:tcPr>
            <w:tcW w:type="dxa" w:w="13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UI-02</w:t>
            </w:r>
          </w:p>
        </w:tc>
        <w:tc>
          <w:tcPr>
            <w:tcW w:type="dxa" w:w="35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Прямой SPA URL</w:t>
            </w:r>
          </w:p>
        </w:tc>
        <w:tc>
          <w:tcPr>
            <w:tcW w:type="dxa" w:w="47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сервер возвращает React index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8"/>
        </w:rPr>
        <w:t>ПРИЛОЖЕНИЕ В. СТРУКТУРА ПРОЕКТА</w:t>
      </w:r>
    </w:p>
    <w:p>
      <w:pPr>
        <w:spacing w:line="240" w:lineRule="auto" w:before="80" w:after="120"/>
        <w:ind w:firstLine="0" w:left="397"/>
        <w:jc w:val="left"/>
      </w:pPr>
      <w:r>
        <w:rPr>
          <w:rFonts w:ascii="Courier New" w:hAnsi="Courier New" w:eastAsia="Courier New" w:cs="Courier New"/>
          <w:sz w:val="16"/>
        </w:rPr>
        <w:t>Авторизация/</w:t>
        <w:br/>
        <w:t xml:space="preserve">  frontend/                  React, маршруты, компоненты и Vitest</w:t>
        <w:br/>
        <w:t xml:space="preserve">  src/main/java/.../catalog Backend каталога</w:t>
        <w:br/>
        <w:t xml:space="preserve">  src/main/java/.../security Авторизация и ADMIN users</w:t>
        <w:br/>
        <w:t xml:space="preserve">  src/main/resources/        Flyway, профили, 50 записей</w:t>
        <w:br/>
        <w:t xml:space="preserve">  src/test/                  Java integration-тесты</w:t>
        <w:br/>
        <w:t>docs/</w:t>
        <w:br/>
        <w:t xml:space="preserve">  frontend/ backend/ auth/ tests/ logs/ reports/ defense/</w:t>
        <w:br/>
        <w:t>tools/</w:t>
        <w:br/>
        <w:t xml:space="preserve">  catalog/                   обогащение и аудит данных</w:t>
        <w:br/>
        <w:t xml:space="preserve">  reports/                   генерация DOCX</w:t>
      </w:r>
    </w:p>
    <w:sectPr w:rsidR="00FC693F" w:rsidRPr="0006063C" w:rsidSect="00034616">
      <w:footerReference w:type="default" r:id="rId14"/>
      <w:footerReference w:type="first" r:id="rId15"/>
      <w:pgSz w:w="12240" w:h="15840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160" w:after="120"/>
      <w:ind w:firstLine="0"/>
      <w:jc w:val="center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60" w:after="120"/>
      <w:ind w:firstLine="0"/>
      <w:jc w:val="center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  <w:ind w:firstLine="0"/>
      <w:jc w:val="center"/>
    </w:pPr>
    <w:rPr>
      <w:rFonts w:ascii="Times New Roman" w:hAnsi="Times New Roman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учебной практике — ThermoSelect</dc:title>
  <dc:subject>Информационно-поисковая система выбора теплообменных аппаратов</dc:subject>
  <dc:creator>Студент СПбГТИ(ТУ)</dc:creator>
  <cp:keywords>ThermoSelect, теплообменники, учебная практика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