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9 maart 2026 en 23 maart 2026. Voor dit deelonderzoek is een representatieve steekproef samengesteld uit 3 gepubliceerde webpagina's met verschillende contenttypen, waaronder 9 pagina's met verschillende functionaliteiten.</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website niet correct ingesteld. Dit raakt met name gebruikers met een motorische beperking of dyslexie.</w:t>
      </w:r>
    </w:p>
    <w:p>
      <w:pPr>
        <w:pStyle w:val="Normal"/>
      </w:pPr>
      <w:r>
        <w:t xml:space="preserve">Bij 2 van de 3 website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publicatieproces.</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website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https://www.{websiteUrl}/form/aanmelden-updates-zenderink/gegevens-0-1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website.</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