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t>
      </w:r>
      <w:hyperlink r:id="rId100">
        <w:r w:rsidRPr="00B65DDF">
          <w:rPr>
            <w:rStyle w:val="Hyperlink"/>
          </w:rPr>
          <w:t>WCAG-EM</w:t>
        </w:r>
      </w:hyperlink>
      <w:r w:rsidRPr="00B65DDF">
        <w:t xml:space="preserve">. Deze methode is aanbevolen door </w:t>
      </w:r>
      <w:hyperlink r:id="rId101">
        <w:r w:rsidRPr="00B65DDF">
          <w:rPr>
            <w:rStyle w:val="Hyperlink"/>
          </w:rPr>
          <w:t>DigiToegankelijk (Logius)</w:t>
        </w:r>
      </w:hyperlink>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