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Valkenswaard</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https://www.valkenswaard.nl/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A2gemeenten</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www.valkenswaard.nl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28 februari 2026</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website Valkenswaard</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br w:type="page"/>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Dit onderzoek is door Shift2 uitgevoerd tussen 9 maart 2026 en 23 maart 2026. Voor dit deelonderzoek is een representatieve steekproef samengesteld van 3 gepubliceerde formulieren binnen de Shift2-omgeving met verschillende kenmerken en complexiteitsniveaus.</w:t>
      </w:r>
    </w:p>
    <w:p w14:paraId="06B0BFA0" w14:textId="77777777" w:rsidR="004D1476" w:rsidRPr="004D1476" w:rsidRDefault="004D1476" w:rsidP="00CF4FA4">
      <w:r w:rsidRPr="004D1476">
        <w:t>De onderzochte formuliercontent voldoet niet volledig aan WCAG 2.2 niveau A en AA. In dit deelonderzoek zijn 30 succescriteria beoordeeld. Er wordt voldaan aan 0 van deze 30 succescriteria (0%). Bij 0 succescriteria zijn afwijkingen vastgesteld.</w:t>
      </w:r>
    </w:p>
    <w:p w14:paraId="7B108E00" w14:textId="77777777" w:rsidR="00CF4FA4" w:rsidRDefault="004D1476" w:rsidP="00CF4FA4">
      <w:r w:rsidRPr="004D1476">
        <w:t>Wij adviseren om formuliercontent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br w:type="page"/>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https://www.valkenswaard.nl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