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F5CC4" w14:textId="77777777" w:rsidR="00BC0FE0" w:rsidRPr="00AB11AD" w:rsidRDefault="00000000">
      <w:pPr>
        <w:pStyle w:val="aa"/>
        <w:rPr>
          <w:rFonts w:ascii="Times New Roman" w:hAnsi="Times New Roman" w:cs="Times New Roman"/>
          <w:sz w:val="48"/>
          <w:szCs w:val="72"/>
        </w:rPr>
      </w:pPr>
      <w:r w:rsidRPr="00AB11AD">
        <w:rPr>
          <w:rFonts w:ascii="Times New Roman" w:hAnsi="Times New Roman" w:cs="Times New Roman"/>
          <w:sz w:val="48"/>
          <w:szCs w:val="72"/>
        </w:rPr>
        <w:t>Sequentially Assembled Dual-SAM Contacts for Efficient and Stable Inverted Perovskite Solar Cells</w:t>
      </w:r>
    </w:p>
    <w:p w14:paraId="6C56AE68"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Replacement Key</w:t>
      </w:r>
    </w:p>
    <w:p w14:paraId="546DC40A"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Replace each bracketed item globally before using the text.</w:t>
      </w:r>
    </w:p>
    <w:p w14:paraId="1206A201"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[SAM-A]</w:t>
      </w:r>
      <w:r w:rsidRPr="00AB11AD">
        <w:rPr>
          <w:rFonts w:ascii="Times New Roman" w:hAnsi="Times New Roman" w:cs="Times New Roman"/>
          <w:sz w:val="24"/>
          <w:szCs w:val="28"/>
        </w:rPr>
        <w:t>: the first-deposited SAM adjacent to the electrode.</w:t>
      </w:r>
    </w:p>
    <w:p w14:paraId="2381C932"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[SAM-B]</w:t>
      </w:r>
      <w:r w:rsidRPr="00AB11AD">
        <w:rPr>
          <w:rFonts w:ascii="Times New Roman" w:hAnsi="Times New Roman" w:cs="Times New Roman"/>
          <w:sz w:val="24"/>
          <w:szCs w:val="28"/>
        </w:rPr>
        <w:t>: the second-deposited SAM facing the perovskite.</w:t>
      </w:r>
    </w:p>
    <w:p w14:paraId="45104BEB"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[BL-SAM]</w:t>
      </w:r>
      <w:r w:rsidRPr="00AB11AD">
        <w:rPr>
          <w:rFonts w:ascii="Times New Roman" w:hAnsi="Times New Roman" w:cs="Times New Roman"/>
          <w:sz w:val="24"/>
          <w:szCs w:val="28"/>
        </w:rPr>
        <w:t xml:space="preserve">: the abbreviation used for the sequential </w:t>
      </w:r>
      <w:r w:rsidRPr="00AB11AD">
        <w:rPr>
          <w:rFonts w:ascii="Times New Roman" w:hAnsi="Times New Roman" w:cs="Times New Roman"/>
          <w:color w:val="2E5D7B"/>
          <w:szCs w:val="28"/>
          <w:shd w:val="clear" w:color="auto" w:fill="F2F4F6"/>
        </w:rPr>
        <w:t>[SAM-A]/[SAM-B]</w:t>
      </w:r>
      <w:r w:rsidRPr="00AB11AD">
        <w:rPr>
          <w:rFonts w:ascii="Times New Roman" w:hAnsi="Times New Roman" w:cs="Times New Roman"/>
          <w:sz w:val="24"/>
          <w:szCs w:val="28"/>
        </w:rPr>
        <w:t xml:space="preserve"> contact.</w:t>
      </w:r>
    </w:p>
    <w:p w14:paraId="1D3D5E86"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[SUBSTRATE]</w:t>
      </w:r>
      <w:r w:rsidRPr="00AB11AD">
        <w:rPr>
          <w:rFonts w:ascii="Times New Roman" w:hAnsi="Times New Roman" w:cs="Times New Roman"/>
          <w:sz w:val="24"/>
          <w:szCs w:val="28"/>
        </w:rPr>
        <w:t>: ITO, FTO, NiOx/ITO, or the actual bottom electrode.</w:t>
      </w:r>
    </w:p>
    <w:p w14:paraId="56600096"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[CONTROL]</w:t>
      </w:r>
      <w:r w:rsidRPr="00AB11AD">
        <w:rPr>
          <w:rFonts w:ascii="Times New Roman" w:hAnsi="Times New Roman" w:cs="Times New Roman"/>
          <w:sz w:val="24"/>
          <w:szCs w:val="28"/>
        </w:rPr>
        <w:t xml:space="preserve">: the principal single-SAM reference, normally </w:t>
      </w:r>
      <w:r w:rsidRPr="00AB11AD">
        <w:rPr>
          <w:rFonts w:ascii="Times New Roman" w:hAnsi="Times New Roman" w:cs="Times New Roman"/>
          <w:color w:val="2E5D7B"/>
          <w:szCs w:val="28"/>
          <w:shd w:val="clear" w:color="auto" w:fill="F2F4F6"/>
        </w:rPr>
        <w:t>[SAM-A]</w:t>
      </w:r>
      <w:r w:rsidRPr="00AB11AD">
        <w:rPr>
          <w:rFonts w:ascii="Times New Roman" w:hAnsi="Times New Roman" w:cs="Times New Roman"/>
          <w:sz w:val="24"/>
          <w:szCs w:val="28"/>
        </w:rPr>
        <w:t>.</w:t>
      </w:r>
    </w:p>
    <w:p w14:paraId="3C036664"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[PEROVSKITE]</w:t>
      </w:r>
      <w:r w:rsidRPr="00AB11AD">
        <w:rPr>
          <w:rFonts w:ascii="Times New Roman" w:hAnsi="Times New Roman" w:cs="Times New Roman"/>
          <w:sz w:val="24"/>
          <w:szCs w:val="28"/>
        </w:rPr>
        <w:t>: the perovskite composition or bandgap used in this work.</w:t>
      </w:r>
    </w:p>
    <w:p w14:paraId="697BD362"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[DEVICE-STACK]</w:t>
      </w:r>
      <w:r w:rsidRPr="00AB11AD">
        <w:rPr>
          <w:rFonts w:ascii="Times New Roman" w:hAnsi="Times New Roman" w:cs="Times New Roman"/>
          <w:sz w:val="24"/>
          <w:szCs w:val="28"/>
        </w:rPr>
        <w:t>: the complete device architecture.</w:t>
      </w:r>
    </w:p>
    <w:p w14:paraId="4E693443"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[X]</w:t>
      </w:r>
      <w:r w:rsidRPr="00AB11AD">
        <w:rPr>
          <w:rFonts w:ascii="Times New Roman" w:hAnsi="Times New Roman" w:cs="Times New Roman"/>
          <w:sz w:val="24"/>
          <w:szCs w:val="28"/>
        </w:rPr>
        <w:t xml:space="preserve">, </w:t>
      </w:r>
      <w:r w:rsidRPr="00AB11AD">
        <w:rPr>
          <w:rFonts w:ascii="Times New Roman" w:hAnsi="Times New Roman" w:cs="Times New Roman"/>
          <w:color w:val="2E5D7B"/>
          <w:szCs w:val="28"/>
          <w:shd w:val="clear" w:color="auto" w:fill="F2F4F6"/>
        </w:rPr>
        <w:t>[Y]</w:t>
      </w:r>
      <w:r w:rsidRPr="00AB11AD">
        <w:rPr>
          <w:rFonts w:ascii="Times New Roman" w:hAnsi="Times New Roman" w:cs="Times New Roman"/>
          <w:sz w:val="24"/>
          <w:szCs w:val="28"/>
        </w:rPr>
        <w:t xml:space="preserve">, and </w:t>
      </w:r>
      <w:r w:rsidRPr="00AB11AD">
        <w:rPr>
          <w:rFonts w:ascii="Times New Roman" w:hAnsi="Times New Roman" w:cs="Times New Roman"/>
          <w:color w:val="2E5D7B"/>
          <w:szCs w:val="28"/>
          <w:shd w:val="clear" w:color="auto" w:fill="F2F4F6"/>
        </w:rPr>
        <w:t>[Z]</w:t>
      </w:r>
      <w:r w:rsidRPr="00AB11AD">
        <w:rPr>
          <w:rFonts w:ascii="Times New Roman" w:hAnsi="Times New Roman" w:cs="Times New Roman"/>
          <w:sz w:val="24"/>
          <w:szCs w:val="28"/>
        </w:rPr>
        <w:t>: measured values or experimentally observed trends.</w:t>
      </w:r>
    </w:p>
    <w:p w14:paraId="3506CA21"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color w:val="2E5D7B"/>
          <w:szCs w:val="28"/>
          <w:shd w:val="clear" w:color="auto" w:fill="F2F4F6"/>
        </w:rPr>
        <w:t>[refs]</w:t>
      </w:r>
      <w:r w:rsidRPr="00AB11AD">
        <w:rPr>
          <w:rFonts w:ascii="Times New Roman" w:hAnsi="Times New Roman" w:cs="Times New Roman"/>
          <w:sz w:val="24"/>
          <w:szCs w:val="28"/>
        </w:rPr>
        <w:t>: references to be renumbered with the manuscript reference manager.</w:t>
      </w:r>
    </w:p>
    <w:p w14:paraId="60851B05" w14:textId="77777777" w:rsidR="00BC0FE0" w:rsidRPr="00AB11AD" w:rsidRDefault="00BC0FE0">
      <w:pPr>
        <w:pBdr>
          <w:bottom w:val="single" w:sz="6" w:space="0" w:color="AEB8C2"/>
        </w:pBdr>
        <w:spacing w:before="80" w:after="120"/>
        <w:rPr>
          <w:rFonts w:ascii="Times New Roman" w:hAnsi="Times New Roman" w:cs="Times New Roman"/>
          <w:sz w:val="28"/>
          <w:szCs w:val="28"/>
        </w:rPr>
      </w:pPr>
    </w:p>
    <w:p w14:paraId="6D6A7025"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1. Introduction</w:t>
      </w:r>
    </w:p>
    <w:p w14:paraId="275D39C6"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Metal halide perovskite solar cells (PSCs) have attracted extensive attention because of their strong optical absorption, long carrier diffusion lengths, tunable bandgaps, and compatibility with low-temperature solution processing.[refs] Benefiting from continuous advances in composition engineering, crystallization regulation, and interface modification, the power conversion efficiency (PCE) of single-junction PSCs has increased rapidly and is approaching the practical limit of this photovoltaic architecture.[refs] In particular, inverted p-i-n PSCs are attractive for future large-area and tandem applications because of their low processing temperature, negligible current-voltage hysteresis, and compatibility with textured or semitransparent substrates.[refs] Nevertheless, their performance and operational stability remain strongly affected by the buried interface between the transparent electrode and the perovskite absorber. Defects, energetic disorder, and nonuniform contact at this </w:t>
      </w:r>
      <w:r w:rsidRPr="00AB11AD">
        <w:rPr>
          <w:rFonts w:ascii="Times New Roman" w:hAnsi="Times New Roman" w:cs="Times New Roman"/>
          <w:sz w:val="28"/>
          <w:szCs w:val="28"/>
        </w:rPr>
        <w:lastRenderedPageBreak/>
        <w:t>interface promote non-radiative recombination and impede carrier extraction, leading to losses in open-circuit voltage (Voc) and fill factor (FF).[refs] Therefore, constructing a uniform and energetically favorable buried hole-selective contact is essential for further improving inverted PSCs.</w:t>
      </w:r>
    </w:p>
    <w:p w14:paraId="3E7E1DFF"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Self-assembled monolayers (SAMs) have emerged as highly effective hole-selective materials for inverted PSCs.[refs] A typical SAM molecule consists of an anchoring group that binds to the metal-oxide electrode, a spacer that regulates molecular orientation and packing, and a terminal functional group that determines the surface dipole and the interaction with the perovskite precursor.[refs] Compared with conventional polymeric or inorganic hole-transport layers, SAMs possess molecular-scale thickness, low parasitic absorption, minimal transport resistance, and readily tunable electronic structures.[refs] These features allow SAMs to modify the electrode work function, facilitate hole extraction, suppress interfacial recombination, and influence the nucleation of the overlying perovskite film.[refs] Consequently, carbazole-based SAMs such as 2PACz, MeO-2PACz, Me-4PACz, and their derivatives have been widely employed in high-performance single-junction and tandem PSCs.[refs]</w:t>
      </w:r>
    </w:p>
    <w:p w14:paraId="07519AE7"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Despite these advantages, conventional single-component SAM contacts have several intrinsic limitations. Strong intermolecular interactions and the amphiphilic character of SAM molecules can induce aggregation in solution, whereas steric hindrance, competitive adsorption, and substrate roughness can hinder uniform molecular assembly.[refs] The resulting adsorption vacancies and pinholes expose portions of the underlying electrode to the perovskite, generating local leakage pathways and recombination-active sites.[refs] In addition, a single molecular structure must simultaneously satisfy several requirements, including strong substrate binding, compact surface coverage, suitable precursor wettability, favorable energy-level alignment, efficient defect passivation, and controlled perovskite nucleation. These requirements are not always mutually compatible. Molecular structures that favor dense assembly on the electrode may provide limited chemical interaction with the perovskite, while terminal groups that strongly passivate perovskite defects may </w:t>
      </w:r>
      <w:r w:rsidRPr="00AB11AD">
        <w:rPr>
          <w:rFonts w:ascii="Times New Roman" w:hAnsi="Times New Roman" w:cs="Times New Roman"/>
          <w:sz w:val="28"/>
          <w:szCs w:val="28"/>
        </w:rPr>
        <w:lastRenderedPageBreak/>
        <w:t>compromise molecular packing or interfacial energetics.[refs] This functional conflict makes it difficult for a single SAM to optimize both the electrode-facing and perovskite-facing sides of the buried contact.</w:t>
      </w:r>
    </w:p>
    <w:p w14:paraId="60B04C89"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Considerable efforts have been devoted to overcoming the limitations of single-component SAMs. Solvent and concentration optimization can reduce molecular aggregation but cannot completely eliminate adsorption vacancies on chemically or morphologically heterogeneous substrates.[refs] Co-assembled SAMs and molecular additives have been used to fill uncovered sites and tune surface properties; however, simultaneous deposition often introduces competitive adsorption, making the relative surface composition and molecular arrangement difficult to control.[refs] The synthesis of multifunctional SAM molecules provides another route to interface regulation, although increasing molecular complexity does not necessarily resolve the trade-off between substrate coverage and perovskite-side passivation.[refs] Sequential deposition offers a more direct strategy to spatially separate these functions. In this architecture, a primary SAM is first assembled to provide strong substrate anchoring and hole selectivity, after which a second SAM is introduced to occupy residual adsorption sites and tailor the surface presented to the perovskite. Such a dual-SAM configuration may combine compact electrode coverage, favorable energy-level alignment, defect passivation, and crystallization regulation within a single buried contact. However, the distinct contributions of the two SAM components and their synergistic influence on device performance require systematic clarification.</w:t>
      </w:r>
    </w:p>
    <w:p w14:paraId="6674FB95"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Here, we construct a sequentially assembled </w:t>
      </w:r>
      <w:r w:rsidRPr="00AB11AD">
        <w:rPr>
          <w:rFonts w:ascii="Times New Roman" w:hAnsi="Times New Roman" w:cs="Times New Roman"/>
          <w:color w:val="2E5D7B"/>
          <w:sz w:val="21"/>
          <w:szCs w:val="28"/>
          <w:shd w:val="clear" w:color="auto" w:fill="F2F4F6"/>
        </w:rPr>
        <w:t>[SAM-A]/[SAM-B]</w:t>
      </w:r>
      <w:r w:rsidRPr="00AB11AD">
        <w:rPr>
          <w:rFonts w:ascii="Times New Roman" w:hAnsi="Times New Roman" w:cs="Times New Roman"/>
          <w:sz w:val="28"/>
          <w:szCs w:val="28"/>
        </w:rPr>
        <w:t xml:space="preserve"> bilayer contact, denoted as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for inverted </w:t>
      </w:r>
      <w:r w:rsidRPr="00AB11AD">
        <w:rPr>
          <w:rFonts w:ascii="Times New Roman" w:hAnsi="Times New Roman" w:cs="Times New Roman"/>
          <w:color w:val="2E5D7B"/>
          <w:sz w:val="21"/>
          <w:szCs w:val="28"/>
          <w:shd w:val="clear" w:color="auto" w:fill="F2F4F6"/>
        </w:rPr>
        <w:t>[PEROVSKITE]</w:t>
      </w:r>
      <w:r w:rsidRPr="00AB11AD">
        <w:rPr>
          <w:rFonts w:ascii="Times New Roman" w:hAnsi="Times New Roman" w:cs="Times New Roman"/>
          <w:sz w:val="28"/>
          <w:szCs w:val="28"/>
        </w:rPr>
        <w:t xml:space="preserve"> PSCs.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is first anchored onto </w:t>
      </w:r>
      <w:r w:rsidRPr="00AB11AD">
        <w:rPr>
          <w:rFonts w:ascii="Times New Roman" w:hAnsi="Times New Roman" w:cs="Times New Roman"/>
          <w:color w:val="2E5D7B"/>
          <w:sz w:val="21"/>
          <w:szCs w:val="28"/>
          <w:shd w:val="clear" w:color="auto" w:fill="F2F4F6"/>
        </w:rPr>
        <w:t>[SUBSTRATE]</w:t>
      </w:r>
      <w:r w:rsidRPr="00AB11AD">
        <w:rPr>
          <w:rFonts w:ascii="Times New Roman" w:hAnsi="Times New Roman" w:cs="Times New Roman"/>
          <w:sz w:val="28"/>
          <w:szCs w:val="28"/>
        </w:rPr>
        <w:t xml:space="preserve"> to establish a uniform and robust hole-selective contact, whereas the subsequently deposited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occupies residual adsorption vacancies and provides a chemically favorable surface for perovskite formation. X-ray photoelectron spectroscopy (XPS) and time-of-flight secondary-ion mass spectrometry (ToF-SIMS) confirm the coexistence and vertical distribution of the two SAM components. Atomic force microscopy (AFM) and Kelvin probe force microscopy (KPFM) reveal a smoother surface and a more homogeneous contact-potential distribution after sequential </w:t>
      </w:r>
      <w:r w:rsidRPr="00AB11AD">
        <w:rPr>
          <w:rFonts w:ascii="Times New Roman" w:hAnsi="Times New Roman" w:cs="Times New Roman"/>
          <w:sz w:val="28"/>
          <w:szCs w:val="28"/>
        </w:rPr>
        <w:lastRenderedPageBreak/>
        <w:t xml:space="preserve">assembly. Contact-angle measurements demonstrate optimized wettability toward the perovskite precursor, while ultraviolet photoelectron spectroscopy (UPS) shows that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shifts the electrode work function from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eV and reduces the energetic offset for hole extraction. Moreover, scanning electron microscopy (SEM) reveals that the bilayer contact suppresses interfacial voids and promotes the formation of a compact perovskite film with </w:t>
      </w:r>
      <w:r w:rsidRPr="00AB11AD">
        <w:rPr>
          <w:rFonts w:ascii="Times New Roman" w:hAnsi="Times New Roman" w:cs="Times New Roman"/>
          <w:color w:val="2E5D7B"/>
          <w:sz w:val="21"/>
          <w:szCs w:val="28"/>
          <w:shd w:val="clear" w:color="auto" w:fill="F2F4F6"/>
        </w:rPr>
        <w:t>[LARGER/MORE UNIFORM]</w:t>
      </w:r>
      <w:r w:rsidRPr="00AB11AD">
        <w:rPr>
          <w:rFonts w:ascii="Times New Roman" w:hAnsi="Times New Roman" w:cs="Times New Roman"/>
          <w:sz w:val="28"/>
          <w:szCs w:val="28"/>
        </w:rPr>
        <w:t xml:space="preserve"> grains. As a result, the champion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device achieves a PCE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with a Voc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V, a short-circuit current density (Jsc)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mA cm-2, and an FF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outperforming devices based on either individual SAM. The optimized devices also retain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of their initial efficiency after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h under </w:t>
      </w:r>
      <w:r w:rsidRPr="00AB11AD">
        <w:rPr>
          <w:rFonts w:ascii="Times New Roman" w:hAnsi="Times New Roman" w:cs="Times New Roman"/>
          <w:color w:val="2E5D7B"/>
          <w:sz w:val="21"/>
          <w:szCs w:val="28"/>
          <w:shd w:val="clear" w:color="auto" w:fill="F2F4F6"/>
        </w:rPr>
        <w:t>[STABILITY CONDITIONS]</w:t>
      </w:r>
      <w:r w:rsidRPr="00AB11AD">
        <w:rPr>
          <w:rFonts w:ascii="Times New Roman" w:hAnsi="Times New Roman" w:cs="Times New Roman"/>
          <w:sz w:val="28"/>
          <w:szCs w:val="28"/>
        </w:rPr>
        <w:t>. These results demonstrate that the spatial separation of substrate anchoring and perovskite-side regulation provides an effective design principle for high-quality buried contacts in inverted PSCs.</w:t>
      </w:r>
    </w:p>
    <w:p w14:paraId="30E47ED6" w14:textId="77777777" w:rsidR="00BC0FE0" w:rsidRPr="00AB11AD" w:rsidRDefault="00BC0FE0">
      <w:pPr>
        <w:pBdr>
          <w:bottom w:val="single" w:sz="6" w:space="0" w:color="AEB8C2"/>
        </w:pBdr>
        <w:spacing w:before="80" w:after="120"/>
        <w:rPr>
          <w:rFonts w:ascii="Times New Roman" w:hAnsi="Times New Roman" w:cs="Times New Roman"/>
          <w:sz w:val="28"/>
          <w:szCs w:val="28"/>
        </w:rPr>
      </w:pPr>
    </w:p>
    <w:p w14:paraId="48E2AD4F"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2. Results and Discussion</w:t>
      </w:r>
    </w:p>
    <w:p w14:paraId="3B1F9A2C" w14:textId="77777777" w:rsidR="00BC0FE0" w:rsidRPr="00AB11AD" w:rsidRDefault="00000000">
      <w:pPr>
        <w:pStyle w:val="21"/>
        <w:rPr>
          <w:rFonts w:ascii="Times New Roman" w:hAnsi="Times New Roman" w:cs="Times New Roman"/>
          <w:sz w:val="32"/>
          <w:szCs w:val="32"/>
        </w:rPr>
      </w:pPr>
      <w:r w:rsidRPr="00AB11AD">
        <w:rPr>
          <w:rFonts w:ascii="Times New Roman" w:hAnsi="Times New Roman" w:cs="Times New Roman"/>
          <w:sz w:val="32"/>
          <w:szCs w:val="32"/>
        </w:rPr>
        <w:t>2.1. Construction and Photovoltaic Performance of the Sequential Dual-SAM Contact</w:t>
      </w:r>
    </w:p>
    <w:p w14:paraId="466A6818"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The molecular structures and sequential deposition procedure of the </w:t>
      </w:r>
      <w:r w:rsidRPr="00AB11AD">
        <w:rPr>
          <w:rFonts w:ascii="Times New Roman" w:hAnsi="Times New Roman" w:cs="Times New Roman"/>
          <w:color w:val="2E5D7B"/>
          <w:sz w:val="21"/>
          <w:szCs w:val="28"/>
          <w:shd w:val="clear" w:color="auto" w:fill="F2F4F6"/>
        </w:rPr>
        <w:t>[SAM-A]/[SAM-B]</w:t>
      </w:r>
      <w:r w:rsidRPr="00AB11AD">
        <w:rPr>
          <w:rFonts w:ascii="Times New Roman" w:hAnsi="Times New Roman" w:cs="Times New Roman"/>
          <w:sz w:val="28"/>
          <w:szCs w:val="28"/>
        </w:rPr>
        <w:t xml:space="preserve"> contact are illustrated in Figure 1a.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containing </w:t>
      </w:r>
      <w:r w:rsidRPr="00AB11AD">
        <w:rPr>
          <w:rFonts w:ascii="Times New Roman" w:hAnsi="Times New Roman" w:cs="Times New Roman"/>
          <w:color w:val="2E5D7B"/>
          <w:sz w:val="21"/>
          <w:szCs w:val="28"/>
          <w:shd w:val="clear" w:color="auto" w:fill="F2F4F6"/>
        </w:rPr>
        <w:t>[ANCHORING GROUP A]</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[FUNCTIONAL GROUP A]</w:t>
      </w:r>
      <w:r w:rsidRPr="00AB11AD">
        <w:rPr>
          <w:rFonts w:ascii="Times New Roman" w:hAnsi="Times New Roman" w:cs="Times New Roman"/>
          <w:sz w:val="28"/>
          <w:szCs w:val="28"/>
        </w:rPr>
        <w:t xml:space="preserve">, was first deposited onto </w:t>
      </w:r>
      <w:r w:rsidRPr="00AB11AD">
        <w:rPr>
          <w:rFonts w:ascii="Times New Roman" w:hAnsi="Times New Roman" w:cs="Times New Roman"/>
          <w:color w:val="2E5D7B"/>
          <w:sz w:val="21"/>
          <w:szCs w:val="28"/>
          <w:shd w:val="clear" w:color="auto" w:fill="F2F4F6"/>
        </w:rPr>
        <w:t>[SUBSTRATE]</w:t>
      </w:r>
      <w:r w:rsidRPr="00AB11AD">
        <w:rPr>
          <w:rFonts w:ascii="Times New Roman" w:hAnsi="Times New Roman" w:cs="Times New Roman"/>
          <w:sz w:val="28"/>
          <w:szCs w:val="28"/>
        </w:rPr>
        <w:t xml:space="preserve"> to form the primary hole-selective monolayer. Because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exhibits </w:t>
      </w:r>
      <w:r w:rsidRPr="00AB11AD">
        <w:rPr>
          <w:rFonts w:ascii="Times New Roman" w:hAnsi="Times New Roman" w:cs="Times New Roman"/>
          <w:color w:val="2E5D7B"/>
          <w:sz w:val="21"/>
          <w:szCs w:val="28"/>
          <w:shd w:val="clear" w:color="auto" w:fill="F2F4F6"/>
        </w:rPr>
        <w:t>[STRONG SUBSTRATE AFFINITY/FAVORABLE MOLECULAR PACKING]</w:t>
      </w:r>
      <w:r w:rsidRPr="00AB11AD">
        <w:rPr>
          <w:rFonts w:ascii="Times New Roman" w:hAnsi="Times New Roman" w:cs="Times New Roman"/>
          <w:sz w:val="28"/>
          <w:szCs w:val="28"/>
        </w:rPr>
        <w:t xml:space="preserve">, it provides a stable interfacial framework and establishes the principal electronic coupling with the electrode.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containing </w:t>
      </w:r>
      <w:r w:rsidRPr="00AB11AD">
        <w:rPr>
          <w:rFonts w:ascii="Times New Roman" w:hAnsi="Times New Roman" w:cs="Times New Roman"/>
          <w:color w:val="2E5D7B"/>
          <w:sz w:val="21"/>
          <w:szCs w:val="28"/>
          <w:shd w:val="clear" w:color="auto" w:fill="F2F4F6"/>
        </w:rPr>
        <w:t>[ANCHORING GROUP 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[FUNCTIONAL GROUP B]</w:t>
      </w:r>
      <w:r w:rsidRPr="00AB11AD">
        <w:rPr>
          <w:rFonts w:ascii="Times New Roman" w:hAnsi="Times New Roman" w:cs="Times New Roman"/>
          <w:sz w:val="28"/>
          <w:szCs w:val="28"/>
        </w:rPr>
        <w:t xml:space="preserve">, was subsequently deposited from </w:t>
      </w:r>
      <w:r w:rsidRPr="00AB11AD">
        <w:rPr>
          <w:rFonts w:ascii="Times New Roman" w:hAnsi="Times New Roman" w:cs="Times New Roman"/>
          <w:color w:val="2E5D7B"/>
          <w:sz w:val="21"/>
          <w:szCs w:val="28"/>
          <w:shd w:val="clear" w:color="auto" w:fill="F2F4F6"/>
        </w:rPr>
        <w:t>[SOLVENT]</w:t>
      </w:r>
      <w:r w:rsidRPr="00AB11AD">
        <w:rPr>
          <w:rFonts w:ascii="Times New Roman" w:hAnsi="Times New Roman" w:cs="Times New Roman"/>
          <w:sz w:val="28"/>
          <w:szCs w:val="28"/>
        </w:rPr>
        <w:t xml:space="preserve"> at an optimized concentration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mg mL-1. During the second assembly step,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preferentially occupies residual adsorption sites within the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layer and modifies the outer surface in contact with the perovskite precursor. The two molecules therefore perform complementary functions: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w:t>
      </w:r>
      <w:r w:rsidRPr="00AB11AD">
        <w:rPr>
          <w:rFonts w:ascii="Times New Roman" w:hAnsi="Times New Roman" w:cs="Times New Roman"/>
          <w:sz w:val="28"/>
          <w:szCs w:val="28"/>
        </w:rPr>
        <w:lastRenderedPageBreak/>
        <w:t xml:space="preserve">primarily controls substrate binding and hole-selective energetics, whereas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repairs incomplete coverage, passivates the perovskite-facing interface, and regulates perovskite nucleation. For comparison,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 physically mixed </w:t>
      </w:r>
      <w:r w:rsidRPr="00AB11AD">
        <w:rPr>
          <w:rFonts w:ascii="Times New Roman" w:hAnsi="Times New Roman" w:cs="Times New Roman"/>
          <w:color w:val="2E5D7B"/>
          <w:sz w:val="21"/>
          <w:szCs w:val="28"/>
          <w:shd w:val="clear" w:color="auto" w:fill="F2F4F6"/>
        </w:rPr>
        <w:t>[SAM-A]:[SAM-B]</w:t>
      </w:r>
      <w:r w:rsidRPr="00AB11AD">
        <w:rPr>
          <w:rFonts w:ascii="Times New Roman" w:hAnsi="Times New Roman" w:cs="Times New Roman"/>
          <w:sz w:val="28"/>
          <w:szCs w:val="28"/>
        </w:rPr>
        <w:t xml:space="preserve"> co-SAM, a reverse </w:t>
      </w:r>
      <w:r w:rsidRPr="00AB11AD">
        <w:rPr>
          <w:rFonts w:ascii="Times New Roman" w:hAnsi="Times New Roman" w:cs="Times New Roman"/>
          <w:color w:val="2E5D7B"/>
          <w:sz w:val="21"/>
          <w:szCs w:val="28"/>
          <w:shd w:val="clear" w:color="auto" w:fill="F2F4F6"/>
        </w:rPr>
        <w:t>[SAM-B]/[SAM-A]</w:t>
      </w:r>
      <w:r w:rsidRPr="00AB11AD">
        <w:rPr>
          <w:rFonts w:ascii="Times New Roman" w:hAnsi="Times New Roman" w:cs="Times New Roman"/>
          <w:sz w:val="28"/>
          <w:szCs w:val="28"/>
        </w:rPr>
        <w:t xml:space="preserve"> bilayer, and the sequential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contact were prepared under otherwise identical conditions.</w:t>
      </w:r>
    </w:p>
    <w:p w14:paraId="7B283FF3" w14:textId="77777777" w:rsidR="00BC0FE0" w:rsidRPr="007016A7" w:rsidRDefault="00000000">
      <w:pPr>
        <w:jc w:val="both"/>
        <w:rPr>
          <w:rFonts w:ascii="Times New Roman" w:hAnsi="Times New Roman" w:cs="Times New Roman"/>
          <w:strike/>
          <w:sz w:val="28"/>
          <w:szCs w:val="28"/>
        </w:rPr>
      </w:pPr>
      <w:r w:rsidRPr="00AB11AD">
        <w:rPr>
          <w:rFonts w:ascii="Times New Roman" w:hAnsi="Times New Roman" w:cs="Times New Roman"/>
          <w:sz w:val="28"/>
          <w:szCs w:val="28"/>
        </w:rPr>
        <w:t xml:space="preserve">The sequential assembly of the two SAM components was first examined by XPS. As shown in Figure 1b and Figure S1, the </w:t>
      </w:r>
      <w:r w:rsidRPr="00AB11AD">
        <w:rPr>
          <w:rFonts w:ascii="Times New Roman" w:hAnsi="Times New Roman" w:cs="Times New Roman"/>
          <w:color w:val="2E5D7B"/>
          <w:sz w:val="21"/>
          <w:szCs w:val="28"/>
          <w:shd w:val="clear" w:color="auto" w:fill="F2F4F6"/>
        </w:rPr>
        <w:t>[ELEMENT/CORE LEVEL A]</w:t>
      </w:r>
      <w:r w:rsidRPr="00AB11AD">
        <w:rPr>
          <w:rFonts w:ascii="Times New Roman" w:hAnsi="Times New Roman" w:cs="Times New Roman"/>
          <w:sz w:val="28"/>
          <w:szCs w:val="28"/>
        </w:rPr>
        <w:t xml:space="preserve"> signal associated with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is clearly detected on both the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substrates, whereas the characteristic </w:t>
      </w:r>
      <w:r w:rsidRPr="00AB11AD">
        <w:rPr>
          <w:rFonts w:ascii="Times New Roman" w:hAnsi="Times New Roman" w:cs="Times New Roman"/>
          <w:color w:val="2E5D7B"/>
          <w:sz w:val="21"/>
          <w:szCs w:val="28"/>
          <w:shd w:val="clear" w:color="auto" w:fill="F2F4F6"/>
        </w:rPr>
        <w:t>[ELEMENT/CORE LEVEL B]</w:t>
      </w:r>
      <w:r w:rsidRPr="00AB11AD">
        <w:rPr>
          <w:rFonts w:ascii="Times New Roman" w:hAnsi="Times New Roman" w:cs="Times New Roman"/>
          <w:sz w:val="28"/>
          <w:szCs w:val="28"/>
        </w:rPr>
        <w:t xml:space="preserve"> peak of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appears only after the second deposition step. The </w:t>
      </w:r>
      <w:r w:rsidRPr="00AB11AD">
        <w:rPr>
          <w:rFonts w:ascii="Times New Roman" w:hAnsi="Times New Roman" w:cs="Times New Roman"/>
          <w:color w:val="2E5D7B"/>
          <w:sz w:val="21"/>
          <w:szCs w:val="28"/>
          <w:shd w:val="clear" w:color="auto" w:fill="F2F4F6"/>
        </w:rPr>
        <w:t>[ELEMENT A]</w:t>
      </w:r>
      <w:r w:rsidRPr="00AB11AD">
        <w:rPr>
          <w:rFonts w:ascii="Times New Roman" w:hAnsi="Times New Roman" w:cs="Times New Roman"/>
          <w:sz w:val="28"/>
          <w:szCs w:val="28"/>
        </w:rPr>
        <w:t xml:space="preserve"> atomic concentration changes from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for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for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accompanied by the emergence of a </w:t>
      </w:r>
      <w:r w:rsidRPr="00AB11AD">
        <w:rPr>
          <w:rFonts w:ascii="Times New Roman" w:hAnsi="Times New Roman" w:cs="Times New Roman"/>
          <w:color w:val="2E5D7B"/>
          <w:sz w:val="21"/>
          <w:szCs w:val="28"/>
          <w:shd w:val="clear" w:color="auto" w:fill="F2F4F6"/>
        </w:rPr>
        <w:t>[ELEMENT B]</w:t>
      </w:r>
      <w:r w:rsidRPr="00AB11AD">
        <w:rPr>
          <w:rFonts w:ascii="Times New Roman" w:hAnsi="Times New Roman" w:cs="Times New Roman"/>
          <w:sz w:val="28"/>
          <w:szCs w:val="28"/>
        </w:rPr>
        <w:t xml:space="preserve"> content of </w:t>
      </w:r>
      <w:r w:rsidRPr="00AB11AD">
        <w:rPr>
          <w:rFonts w:ascii="Times New Roman" w:hAnsi="Times New Roman" w:cs="Times New Roman"/>
          <w:color w:val="2E5D7B"/>
          <w:sz w:val="21"/>
          <w:szCs w:val="28"/>
          <w:shd w:val="clear" w:color="auto" w:fill="F2F4F6"/>
        </w:rPr>
        <w:t>[Z]</w:t>
      </w:r>
      <w:r w:rsidRPr="00AB11AD">
        <w:rPr>
          <w:rFonts w:ascii="Times New Roman" w:hAnsi="Times New Roman" w:cs="Times New Roman"/>
          <w:sz w:val="28"/>
          <w:szCs w:val="28"/>
        </w:rPr>
        <w:t xml:space="preserve">%. Meanwhile, the </w:t>
      </w:r>
      <w:r w:rsidRPr="00AB11AD">
        <w:rPr>
          <w:rFonts w:ascii="Times New Roman" w:hAnsi="Times New Roman" w:cs="Times New Roman"/>
          <w:color w:val="2E5D7B"/>
          <w:sz w:val="21"/>
          <w:szCs w:val="28"/>
          <w:shd w:val="clear" w:color="auto" w:fill="F2F4F6"/>
        </w:rPr>
        <w:t>[CORE LEVEL]</w:t>
      </w:r>
      <w:r w:rsidRPr="00AB11AD">
        <w:rPr>
          <w:rFonts w:ascii="Times New Roman" w:hAnsi="Times New Roman" w:cs="Times New Roman"/>
          <w:sz w:val="28"/>
          <w:szCs w:val="28"/>
        </w:rPr>
        <w:t xml:space="preserve"> peak shifts from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eV, indicating an electronic interaction between the two molecular components rather than simple physical accumulation. The characteristic SAM signals remain detectable after solvent rinsing and a model precursor-rinsing treatment, confirming the robust binding of the molecules to the substrate. </w:t>
      </w:r>
      <w:r w:rsidRPr="007016A7">
        <w:rPr>
          <w:rFonts w:ascii="Times New Roman" w:hAnsi="Times New Roman" w:cs="Times New Roman"/>
          <w:strike/>
          <w:sz w:val="28"/>
          <w:szCs w:val="28"/>
        </w:rPr>
        <w:t xml:space="preserve">To further resolve their spatial distribution, ToF-SIMS depth profiling was performed using the characteristic fragments </w:t>
      </w:r>
      <w:r w:rsidRPr="007016A7">
        <w:rPr>
          <w:rFonts w:ascii="Times New Roman" w:hAnsi="Times New Roman" w:cs="Times New Roman"/>
          <w:strike/>
          <w:color w:val="2E5D7B"/>
          <w:sz w:val="21"/>
          <w:szCs w:val="28"/>
          <w:shd w:val="clear" w:color="auto" w:fill="F2F4F6"/>
        </w:rPr>
        <w:t>[FRAGMENT A]</w:t>
      </w:r>
      <w:r w:rsidRPr="007016A7">
        <w:rPr>
          <w:rFonts w:ascii="Times New Roman" w:hAnsi="Times New Roman" w:cs="Times New Roman"/>
          <w:strike/>
          <w:sz w:val="28"/>
          <w:szCs w:val="28"/>
        </w:rPr>
        <w:t xml:space="preserve"> and </w:t>
      </w:r>
      <w:r w:rsidRPr="007016A7">
        <w:rPr>
          <w:rFonts w:ascii="Times New Roman" w:hAnsi="Times New Roman" w:cs="Times New Roman"/>
          <w:strike/>
          <w:color w:val="2E5D7B"/>
          <w:sz w:val="21"/>
          <w:szCs w:val="28"/>
          <w:shd w:val="clear" w:color="auto" w:fill="F2F4F6"/>
        </w:rPr>
        <w:t>[FRAGMENT B]</w:t>
      </w:r>
      <w:r w:rsidRPr="007016A7">
        <w:rPr>
          <w:rFonts w:ascii="Times New Roman" w:hAnsi="Times New Roman" w:cs="Times New Roman"/>
          <w:strike/>
          <w:sz w:val="28"/>
          <w:szCs w:val="28"/>
        </w:rPr>
        <w:t xml:space="preserve"> (Figure S2). </w:t>
      </w:r>
      <w:r w:rsidRPr="007016A7">
        <w:rPr>
          <w:rFonts w:ascii="Times New Roman" w:hAnsi="Times New Roman" w:cs="Times New Roman"/>
          <w:strike/>
          <w:color w:val="2E5D7B"/>
          <w:sz w:val="21"/>
          <w:szCs w:val="28"/>
          <w:shd w:val="clear" w:color="auto" w:fill="F2F4F6"/>
        </w:rPr>
        <w:t>[FRAGMENT A]</w:t>
      </w:r>
      <w:r w:rsidRPr="007016A7">
        <w:rPr>
          <w:rFonts w:ascii="Times New Roman" w:hAnsi="Times New Roman" w:cs="Times New Roman"/>
          <w:strike/>
          <w:sz w:val="28"/>
          <w:szCs w:val="28"/>
        </w:rPr>
        <w:t xml:space="preserve"> is enriched near the </w:t>
      </w:r>
      <w:r w:rsidRPr="007016A7">
        <w:rPr>
          <w:rFonts w:ascii="Times New Roman" w:hAnsi="Times New Roman" w:cs="Times New Roman"/>
          <w:strike/>
          <w:color w:val="2E5D7B"/>
          <w:sz w:val="21"/>
          <w:szCs w:val="28"/>
          <w:shd w:val="clear" w:color="auto" w:fill="F2F4F6"/>
        </w:rPr>
        <w:t>[SUBSTRATE]</w:t>
      </w:r>
      <w:r w:rsidRPr="007016A7">
        <w:rPr>
          <w:rFonts w:ascii="Times New Roman" w:hAnsi="Times New Roman" w:cs="Times New Roman"/>
          <w:strike/>
          <w:sz w:val="28"/>
          <w:szCs w:val="28"/>
        </w:rPr>
        <w:t xml:space="preserve"> surface, whereas </w:t>
      </w:r>
      <w:r w:rsidRPr="007016A7">
        <w:rPr>
          <w:rFonts w:ascii="Times New Roman" w:hAnsi="Times New Roman" w:cs="Times New Roman"/>
          <w:strike/>
          <w:color w:val="2E5D7B"/>
          <w:sz w:val="21"/>
          <w:szCs w:val="28"/>
          <w:shd w:val="clear" w:color="auto" w:fill="F2F4F6"/>
        </w:rPr>
        <w:t>[FRAGMENT B]</w:t>
      </w:r>
      <w:r w:rsidRPr="007016A7">
        <w:rPr>
          <w:rFonts w:ascii="Times New Roman" w:hAnsi="Times New Roman" w:cs="Times New Roman"/>
          <w:strike/>
          <w:sz w:val="28"/>
          <w:szCs w:val="28"/>
        </w:rPr>
        <w:t xml:space="preserve"> reaches its maximum intensity closer to the perovskite-facing side. This complementary depth distribution verifies the sequential dual-SAM architecture and supports the proposed assignment of </w:t>
      </w:r>
      <w:r w:rsidRPr="007016A7">
        <w:rPr>
          <w:rFonts w:ascii="Times New Roman" w:hAnsi="Times New Roman" w:cs="Times New Roman"/>
          <w:strike/>
          <w:color w:val="2E5D7B"/>
          <w:sz w:val="21"/>
          <w:szCs w:val="28"/>
          <w:shd w:val="clear" w:color="auto" w:fill="F2F4F6"/>
        </w:rPr>
        <w:t>[SAM-A]</w:t>
      </w:r>
      <w:r w:rsidRPr="007016A7">
        <w:rPr>
          <w:rFonts w:ascii="Times New Roman" w:hAnsi="Times New Roman" w:cs="Times New Roman"/>
          <w:strike/>
          <w:sz w:val="28"/>
          <w:szCs w:val="28"/>
        </w:rPr>
        <w:t xml:space="preserve"> as the bottom component and </w:t>
      </w:r>
      <w:r w:rsidRPr="007016A7">
        <w:rPr>
          <w:rFonts w:ascii="Times New Roman" w:hAnsi="Times New Roman" w:cs="Times New Roman"/>
          <w:strike/>
          <w:color w:val="2E5D7B"/>
          <w:sz w:val="21"/>
          <w:szCs w:val="28"/>
          <w:shd w:val="clear" w:color="auto" w:fill="F2F4F6"/>
        </w:rPr>
        <w:t>[SAM-B]</w:t>
      </w:r>
      <w:r w:rsidRPr="007016A7">
        <w:rPr>
          <w:rFonts w:ascii="Times New Roman" w:hAnsi="Times New Roman" w:cs="Times New Roman"/>
          <w:strike/>
          <w:sz w:val="28"/>
          <w:szCs w:val="28"/>
        </w:rPr>
        <w:t xml:space="preserve"> as the upper interfacial component.</w:t>
      </w:r>
    </w:p>
    <w:p w14:paraId="522A484F"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The influence of the second SAM on surface coverage and electrical homogeneity was investigated using </w:t>
      </w:r>
      <w:r w:rsidRPr="007016A7">
        <w:rPr>
          <w:rFonts w:ascii="Times New Roman" w:hAnsi="Times New Roman" w:cs="Times New Roman"/>
          <w:color w:val="EE0000"/>
          <w:sz w:val="28"/>
          <w:szCs w:val="28"/>
        </w:rPr>
        <w:t>AFM and KPFM.</w:t>
      </w:r>
      <w:r w:rsidRPr="00AB11AD">
        <w:rPr>
          <w:rFonts w:ascii="Times New Roman" w:hAnsi="Times New Roman" w:cs="Times New Roman"/>
          <w:sz w:val="28"/>
          <w:szCs w:val="28"/>
        </w:rPr>
        <w:t xml:space="preserve"> The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substrate exhibits a root-mean-square roughness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nm together with </w:t>
      </w:r>
      <w:r w:rsidRPr="00AB11AD">
        <w:rPr>
          <w:rFonts w:ascii="Times New Roman" w:hAnsi="Times New Roman" w:cs="Times New Roman"/>
          <w:color w:val="2E5D7B"/>
          <w:sz w:val="21"/>
          <w:szCs w:val="28"/>
          <w:shd w:val="clear" w:color="auto" w:fill="F2F4F6"/>
        </w:rPr>
        <w:t>[AGGREGATED DOMAINS/LOCAL DEPRESSIONS/UNCOVERED REGIONS]</w:t>
      </w:r>
      <w:r w:rsidRPr="00AB11AD">
        <w:rPr>
          <w:rFonts w:ascii="Times New Roman" w:hAnsi="Times New Roman" w:cs="Times New Roman"/>
          <w:sz w:val="28"/>
          <w:szCs w:val="28"/>
        </w:rPr>
        <w:t xml:space="preserve">, which are attributed to nonuniform molecular assembly (Figure S3). After the deposition of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the roughness decreases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nm and the surface becomes more uniform, indicating that the second component fills residual adsorption vacancies instead of forming large molecular aggregates. Consistent with the topographic results, the KPFM maps show that the contact-</w:t>
      </w:r>
      <w:r w:rsidRPr="00AB11AD">
        <w:rPr>
          <w:rFonts w:ascii="Times New Roman" w:hAnsi="Times New Roman" w:cs="Times New Roman"/>
          <w:sz w:val="28"/>
          <w:szCs w:val="28"/>
        </w:rPr>
        <w:lastRenderedPageBreak/>
        <w:t xml:space="preserve">potential difference of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varies over a range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mV, whereas the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surface displays a narrower distribution of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mV (Figure 1c). The standard deviation decreases from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mV. This homogenized surface potential suggests that sequential assembly reduces local energetic disorder and suppresses direct contact between the electrode and the subsequently deposited perovskite.</w:t>
      </w:r>
    </w:p>
    <w:p w14:paraId="3B24E26E"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Surface wettability is another critical factor governing precursor spreading and nucleation at the buried interface. As shown in Figure S4, the water</w:t>
      </w:r>
      <w:r w:rsidRPr="007016A7">
        <w:rPr>
          <w:rFonts w:ascii="Times New Roman" w:hAnsi="Times New Roman" w:cs="Times New Roman"/>
          <w:color w:val="EE0000"/>
          <w:sz w:val="28"/>
          <w:szCs w:val="28"/>
        </w:rPr>
        <w:t xml:space="preserve"> contact angles</w:t>
      </w:r>
      <w:r w:rsidRPr="00AB11AD">
        <w:rPr>
          <w:rFonts w:ascii="Times New Roman" w:hAnsi="Times New Roman" w:cs="Times New Roman"/>
          <w:sz w:val="28"/>
          <w:szCs w:val="28"/>
        </w:rPr>
        <w:t xml:space="preserve"> of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are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[Z]</w:t>
      </w:r>
      <w:r w:rsidRPr="00AB11AD">
        <w:rPr>
          <w:rFonts w:ascii="Times New Roman" w:hAnsi="Times New Roman" w:cs="Times New Roman"/>
          <w:sz w:val="28"/>
          <w:szCs w:val="28"/>
        </w:rPr>
        <w:t xml:space="preserve"> degrees, respectively. More importantly, the contact angle of the actual perovskite precursor decreases from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degrees 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degrees on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demonstrating improved precursor affinity. The corresponding spreading images show that the precursor forms </w:t>
      </w:r>
      <w:r w:rsidRPr="00AB11AD">
        <w:rPr>
          <w:rFonts w:ascii="Times New Roman" w:hAnsi="Times New Roman" w:cs="Times New Roman"/>
          <w:color w:val="2E5D7B"/>
          <w:sz w:val="21"/>
          <w:szCs w:val="28"/>
          <w:shd w:val="clear" w:color="auto" w:fill="F2F4F6"/>
        </w:rPr>
        <w:t>[DISCONTINUOUS ISLANDS/A CONTRACTED DROPLET]</w:t>
      </w:r>
      <w:r w:rsidRPr="00AB11AD">
        <w:rPr>
          <w:rFonts w:ascii="Times New Roman" w:hAnsi="Times New Roman" w:cs="Times New Roman"/>
          <w:sz w:val="28"/>
          <w:szCs w:val="28"/>
        </w:rPr>
        <w:t xml:space="preserve"> 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but rapidly develops a continuous wetting front on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This moderate wettability prevents local dewetting without causing excessively strong solvent retention, thereby enabling more spatially uniform nucleation during spin coating. The change in wettability is attributed to the exposure of </w:t>
      </w:r>
      <w:r w:rsidRPr="00AB11AD">
        <w:rPr>
          <w:rFonts w:ascii="Times New Roman" w:hAnsi="Times New Roman" w:cs="Times New Roman"/>
          <w:color w:val="2E5D7B"/>
          <w:sz w:val="21"/>
          <w:szCs w:val="28"/>
          <w:shd w:val="clear" w:color="auto" w:fill="F2F4F6"/>
        </w:rPr>
        <w:t>[FUNCTIONAL GROUP B]</w:t>
      </w:r>
      <w:r w:rsidRPr="00AB11AD">
        <w:rPr>
          <w:rFonts w:ascii="Times New Roman" w:hAnsi="Times New Roman" w:cs="Times New Roman"/>
          <w:sz w:val="28"/>
          <w:szCs w:val="28"/>
        </w:rPr>
        <w:t xml:space="preserve"> at the outer surface of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further supporting the perovskite-facing role of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w:t>
      </w:r>
    </w:p>
    <w:p w14:paraId="110F66BD" w14:textId="77777777" w:rsidR="00BC0FE0" w:rsidRPr="00AB11AD" w:rsidRDefault="00000000">
      <w:pPr>
        <w:jc w:val="both"/>
        <w:rPr>
          <w:rFonts w:ascii="Times New Roman" w:hAnsi="Times New Roman" w:cs="Times New Roman"/>
          <w:sz w:val="28"/>
          <w:szCs w:val="28"/>
        </w:rPr>
      </w:pPr>
      <w:r w:rsidRPr="0040798A">
        <w:rPr>
          <w:rFonts w:ascii="Times New Roman" w:hAnsi="Times New Roman" w:cs="Times New Roman"/>
          <w:color w:val="EE0000"/>
          <w:sz w:val="28"/>
          <w:szCs w:val="28"/>
        </w:rPr>
        <w:t xml:space="preserve">UPS </w:t>
      </w:r>
      <w:r w:rsidRPr="00AB11AD">
        <w:rPr>
          <w:rFonts w:ascii="Times New Roman" w:hAnsi="Times New Roman" w:cs="Times New Roman"/>
          <w:sz w:val="28"/>
          <w:szCs w:val="28"/>
        </w:rPr>
        <w:t xml:space="preserve">measurements were subsequently conducted to determine how sequential assembly affects the interfacial energetics (Figure 1d and Figure S5). From the secondary-electron cutoff, the work functions of </w:t>
      </w:r>
      <w:r w:rsidRPr="00AB11AD">
        <w:rPr>
          <w:rFonts w:ascii="Times New Roman" w:hAnsi="Times New Roman" w:cs="Times New Roman"/>
          <w:color w:val="2E5D7B"/>
          <w:sz w:val="21"/>
          <w:szCs w:val="28"/>
          <w:shd w:val="clear" w:color="auto" w:fill="F2F4F6"/>
        </w:rPr>
        <w:t>[SUBSTRATE]</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are calculated to be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eV, respectively. Analysis of the valence-region onset gives corresponding highest occupied molecular orbital levels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eV for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As summarized in the energy-level diagram in Figure 1e, the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contact exhibits the smallest energetic offset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eV relative to the valence-band maximum of </w:t>
      </w:r>
      <w:r w:rsidRPr="00AB11AD">
        <w:rPr>
          <w:rFonts w:ascii="Times New Roman" w:hAnsi="Times New Roman" w:cs="Times New Roman"/>
          <w:color w:val="2E5D7B"/>
          <w:sz w:val="21"/>
          <w:szCs w:val="28"/>
          <w:shd w:val="clear" w:color="auto" w:fill="F2F4F6"/>
        </w:rPr>
        <w:t>[PEROVSKITE]</w:t>
      </w:r>
      <w:r w:rsidRPr="00AB11AD">
        <w:rPr>
          <w:rFonts w:ascii="Times New Roman" w:hAnsi="Times New Roman" w:cs="Times New Roman"/>
          <w:sz w:val="28"/>
          <w:szCs w:val="28"/>
        </w:rPr>
        <w:t xml:space="preserve">, compared with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eV for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The deeper work function and improved energetic alignment are expected to strengthen the built-in electric field, facilitate hole transfer from the perovskite to the electrode, and suppress interfacial charge accumulation. Thus,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establishes the primary hole-selective contact, while the surface dipole introduced by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further optimizes the final energy landscape of the buried interface.</w:t>
      </w:r>
    </w:p>
    <w:p w14:paraId="16E50CCC"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lastRenderedPageBreak/>
        <w:t xml:space="preserve">The effect of the dual-SAM contact on perovskite formation was directly evaluated by </w:t>
      </w:r>
      <w:r w:rsidRPr="0040798A">
        <w:rPr>
          <w:rFonts w:ascii="Times New Roman" w:hAnsi="Times New Roman" w:cs="Times New Roman"/>
          <w:color w:val="EE0000"/>
          <w:sz w:val="28"/>
          <w:szCs w:val="28"/>
        </w:rPr>
        <w:t>SEM.</w:t>
      </w:r>
      <w:r w:rsidRPr="00AB11AD">
        <w:rPr>
          <w:rFonts w:ascii="Times New Roman" w:hAnsi="Times New Roman" w:cs="Times New Roman"/>
          <w:sz w:val="28"/>
          <w:szCs w:val="28"/>
        </w:rPr>
        <w:t xml:space="preserve"> Top-view images show that the perovskite film deposited 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contains </w:t>
      </w:r>
      <w:r w:rsidRPr="00AB11AD">
        <w:rPr>
          <w:rFonts w:ascii="Times New Roman" w:hAnsi="Times New Roman" w:cs="Times New Roman"/>
          <w:color w:val="2E5D7B"/>
          <w:sz w:val="21"/>
          <w:szCs w:val="28"/>
          <w:shd w:val="clear" w:color="auto" w:fill="F2F4F6"/>
        </w:rPr>
        <w:t>[SMALL GRAINS/PINHOLES/NONUNIFORM DOMAINS]</w:t>
      </w:r>
      <w:r w:rsidRPr="00AB11AD">
        <w:rPr>
          <w:rFonts w:ascii="Times New Roman" w:hAnsi="Times New Roman" w:cs="Times New Roman"/>
          <w:sz w:val="28"/>
          <w:szCs w:val="28"/>
        </w:rPr>
        <w:t xml:space="preserve">, with an average grain size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nm (Figure S6). By contrast, the film grown on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is compact and uniform, with an increased average grain size of </w:t>
      </w:r>
      <w:r w:rsidRPr="00AB11AD">
        <w:rPr>
          <w:rFonts w:ascii="Times New Roman" w:hAnsi="Times New Roman" w:cs="Times New Roman"/>
          <w:color w:val="2E5D7B"/>
          <w:sz w:val="21"/>
          <w:szCs w:val="28"/>
          <w:shd w:val="clear" w:color="auto" w:fill="F2F4F6"/>
        </w:rPr>
        <w:t>[Y]</w:t>
      </w:r>
      <w:r w:rsidRPr="00AB11AD">
        <w:rPr>
          <w:rFonts w:ascii="Times New Roman" w:hAnsi="Times New Roman" w:cs="Times New Roman"/>
          <w:sz w:val="28"/>
          <w:szCs w:val="28"/>
        </w:rPr>
        <w:t xml:space="preserve"> nm and a substantially reduced density of visible defects. Cross-sectional SEM further reveals a more continuous perovskite layer with fewer interfacial voids on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To examine the region most directly affected by the SAM treatment, the perovskite films were mechanically delaminated and their buried surfaces were characterized. The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film exhibits numerous </w:t>
      </w:r>
      <w:r w:rsidRPr="00AB11AD">
        <w:rPr>
          <w:rFonts w:ascii="Times New Roman" w:hAnsi="Times New Roman" w:cs="Times New Roman"/>
          <w:color w:val="2E5D7B"/>
          <w:sz w:val="21"/>
          <w:szCs w:val="28"/>
          <w:shd w:val="clear" w:color="auto" w:fill="F2F4F6"/>
        </w:rPr>
        <w:t>[VOIDS/SMALL CRYSTALLITES/UNCONVERTED RESIDUES]</w:t>
      </w:r>
      <w:r w:rsidRPr="00AB11AD">
        <w:rPr>
          <w:rFonts w:ascii="Times New Roman" w:hAnsi="Times New Roman" w:cs="Times New Roman"/>
          <w:sz w:val="28"/>
          <w:szCs w:val="28"/>
        </w:rPr>
        <w:t xml:space="preserve">, whereas the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film displays densely packed grains and a markedly smoother buried interface (Figure 1f,g). These observations demonstrate that the chemically and energetically homogeneous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surface promotes uniform heterogeneous nucleation and suppresses defective growth at the buried interface. In this context, SEM establishes the effect of the dual-SAM contact on perovskite morphology, while the molecular bilayer itself is verified by the XPS and ToF-SIMS results described above.</w:t>
      </w:r>
    </w:p>
    <w:p w14:paraId="6C28A10F"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To evaluate the photovoltaic consequences of these interfacial improvements, inverted PSCs with the architecture </w:t>
      </w:r>
      <w:r w:rsidRPr="00AB11AD">
        <w:rPr>
          <w:rFonts w:ascii="Times New Roman" w:hAnsi="Times New Roman" w:cs="Times New Roman"/>
          <w:color w:val="2E5D7B"/>
          <w:sz w:val="21"/>
          <w:szCs w:val="28"/>
          <w:shd w:val="clear" w:color="auto" w:fill="F2F4F6"/>
        </w:rPr>
        <w:t>[DEVICE-STACK]</w:t>
      </w:r>
      <w:r w:rsidRPr="00AB11AD">
        <w:rPr>
          <w:rFonts w:ascii="Times New Roman" w:hAnsi="Times New Roman" w:cs="Times New Roman"/>
          <w:sz w:val="28"/>
          <w:szCs w:val="28"/>
        </w:rPr>
        <w:t xml:space="preserve"> were fabricated. The current-density-voltage curves of the champion devices are presented in Figure 1h, and the corresponding photovoltaic parameters are summarized in Table 1. The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device delivers a PCE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with a Voc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V, a Jsc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mA cm-2, and an FF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Devices based solely on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exhibit a PCE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indicating that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cannot independently provide the optimized electrode contact. In comparison, the sequential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device achieves a champion PCE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with a Voc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V, a Jsc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mA cm-2, and an FF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The main efficiency enhancement originates from the simultaneous increases in Voc and FF, consistent with reduced interfacial recombination and more efficient charge extraction. The reverse-scan and forward-scan efficiencies differ by only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confirming negligible hysteresis. In addition, the stabilized power output reaches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at a maximum-power-point voltage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V, in good agreement with the current-voltage measurement.</w:t>
      </w:r>
    </w:p>
    <w:p w14:paraId="6DB7AA11"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lastRenderedPageBreak/>
        <w:t xml:space="preserve">The external quantum efficiency spectrum of the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device yields an integrated Jsc of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mA cm-2, which agrees closely with the value obtained from the current-voltage curve (Figure S7). Statistical analysis of </w:t>
      </w:r>
      <w:r w:rsidRPr="00AB11AD">
        <w:rPr>
          <w:rFonts w:ascii="Times New Roman" w:hAnsi="Times New Roman" w:cs="Times New Roman"/>
          <w:color w:val="2E5D7B"/>
          <w:sz w:val="21"/>
          <w:szCs w:val="28"/>
          <w:shd w:val="clear" w:color="auto" w:fill="F2F4F6"/>
        </w:rPr>
        <w:t>[N]</w:t>
      </w:r>
      <w:r w:rsidRPr="00AB11AD">
        <w:rPr>
          <w:rFonts w:ascii="Times New Roman" w:hAnsi="Times New Roman" w:cs="Times New Roman"/>
          <w:sz w:val="28"/>
          <w:szCs w:val="28"/>
        </w:rPr>
        <w:t xml:space="preserve"> independent devices from </w:t>
      </w:r>
      <w:r w:rsidRPr="00AB11AD">
        <w:rPr>
          <w:rFonts w:ascii="Times New Roman" w:hAnsi="Times New Roman" w:cs="Times New Roman"/>
          <w:color w:val="2E5D7B"/>
          <w:sz w:val="21"/>
          <w:szCs w:val="28"/>
          <w:shd w:val="clear" w:color="auto" w:fill="F2F4F6"/>
        </w:rPr>
        <w:t>[N]</w:t>
      </w:r>
      <w:r w:rsidRPr="00AB11AD">
        <w:rPr>
          <w:rFonts w:ascii="Times New Roman" w:hAnsi="Times New Roman" w:cs="Times New Roman"/>
          <w:sz w:val="28"/>
          <w:szCs w:val="28"/>
        </w:rPr>
        <w:t xml:space="preserve"> fabrication batches shows that the average PCE increases from </w:t>
      </w:r>
      <w:r w:rsidRPr="00AB11AD">
        <w:rPr>
          <w:rFonts w:ascii="Times New Roman" w:hAnsi="Times New Roman" w:cs="Times New Roman"/>
          <w:color w:val="2E5D7B"/>
          <w:sz w:val="21"/>
          <w:szCs w:val="28"/>
          <w:shd w:val="clear" w:color="auto" w:fill="F2F4F6"/>
        </w:rPr>
        <w:t>[X +/- X]</w:t>
      </w:r>
      <w:r w:rsidRPr="00AB11AD">
        <w:rPr>
          <w:rFonts w:ascii="Times New Roman" w:hAnsi="Times New Roman" w:cs="Times New Roman"/>
          <w:sz w:val="28"/>
          <w:szCs w:val="28"/>
        </w:rPr>
        <w:t xml:space="preserve">% for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to </w:t>
      </w:r>
      <w:r w:rsidRPr="00AB11AD">
        <w:rPr>
          <w:rFonts w:ascii="Times New Roman" w:hAnsi="Times New Roman" w:cs="Times New Roman"/>
          <w:color w:val="2E5D7B"/>
          <w:sz w:val="21"/>
          <w:szCs w:val="28"/>
          <w:shd w:val="clear" w:color="auto" w:fill="F2F4F6"/>
        </w:rPr>
        <w:t>[X +/- X]</w:t>
      </w:r>
      <w:r w:rsidRPr="00AB11AD">
        <w:rPr>
          <w:rFonts w:ascii="Times New Roman" w:hAnsi="Times New Roman" w:cs="Times New Roman"/>
          <w:sz w:val="28"/>
          <w:szCs w:val="28"/>
        </w:rPr>
        <w:t xml:space="preserve">% for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accompanied by narrower distributions of Voc and FF (Figure 1i and Figure S8). The co-SAM and reverse-bilayer controls reach average PCEs of only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[X]</w:t>
      </w:r>
      <w:r w:rsidRPr="00AB11AD">
        <w:rPr>
          <w:rFonts w:ascii="Times New Roman" w:hAnsi="Times New Roman" w:cs="Times New Roman"/>
          <w:sz w:val="28"/>
          <w:szCs w:val="28"/>
        </w:rPr>
        <w:t xml:space="preserve">%, respectively, both lower than that of the sequential </w:t>
      </w:r>
      <w:r w:rsidRPr="00AB11AD">
        <w:rPr>
          <w:rFonts w:ascii="Times New Roman" w:hAnsi="Times New Roman" w:cs="Times New Roman"/>
          <w:color w:val="2E5D7B"/>
          <w:sz w:val="21"/>
          <w:szCs w:val="28"/>
          <w:shd w:val="clear" w:color="auto" w:fill="F2F4F6"/>
        </w:rPr>
        <w:t>[SAM-A]/[SAM-B]</w:t>
      </w:r>
      <w:r w:rsidRPr="00AB11AD">
        <w:rPr>
          <w:rFonts w:ascii="Times New Roman" w:hAnsi="Times New Roman" w:cs="Times New Roman"/>
          <w:sz w:val="28"/>
          <w:szCs w:val="28"/>
        </w:rPr>
        <w:t xml:space="preserve"> architecture. These comparisons demonstrate that the performance improvement does not originate solely from the coexistence of two molecules. Instead, the deposition sequence is essential for positioning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near the electrode and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near the perovskite, thereby preserving their distinct interfacial functions.</w:t>
      </w:r>
    </w:p>
    <w:p w14:paraId="3A04447D" w14:textId="77777777" w:rsidR="00BC0FE0" w:rsidRPr="00AB11AD" w:rsidRDefault="00000000">
      <w:pPr>
        <w:jc w:val="both"/>
        <w:rPr>
          <w:rFonts w:ascii="Times New Roman" w:hAnsi="Times New Roman" w:cs="Times New Roman"/>
          <w:sz w:val="28"/>
          <w:szCs w:val="28"/>
        </w:rPr>
      </w:pPr>
      <w:r w:rsidRPr="00AB11AD">
        <w:rPr>
          <w:rFonts w:ascii="Times New Roman" w:hAnsi="Times New Roman" w:cs="Times New Roman"/>
          <w:sz w:val="28"/>
          <w:szCs w:val="28"/>
        </w:rPr>
        <w:t xml:space="preserve">Taken together, the results in Figure 1 establish a direct relationship between the architecture of the dual-SAM contact and the enhanced photovoltaic response. The bottom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layer provides robust substrate anchoring, compact electrode coverage, and efficient hole selectivity, whereas the upper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component fills residual adsorption vacancies, homogenizes the surface potential, optimizes precursor wettability and energy-level alignment, and promotes compact perovskite growth. The sequential integration of these functions reduces both the electrical and morphological losses present in the individual SAM contacts, accounting for the simultaneous enhancement in Voc, FF, PCE, and device reproducibility. The influence of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on interfacial defect passivation, carrier dynamics, non-radiative recombination, and operational stability is investigated in the following sections.</w:t>
      </w:r>
    </w:p>
    <w:p w14:paraId="50C4420E" w14:textId="77777777" w:rsidR="00BC0FE0" w:rsidRPr="00AB11AD" w:rsidRDefault="00BC0FE0">
      <w:pPr>
        <w:pBdr>
          <w:bottom w:val="single" w:sz="6" w:space="0" w:color="AEB8C2"/>
        </w:pBdr>
        <w:spacing w:before="80" w:after="120"/>
        <w:rPr>
          <w:rFonts w:ascii="Times New Roman" w:hAnsi="Times New Roman" w:cs="Times New Roman"/>
          <w:sz w:val="28"/>
          <w:szCs w:val="28"/>
        </w:rPr>
      </w:pPr>
    </w:p>
    <w:p w14:paraId="1426FA57"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Figure 1 Caption Template</w:t>
      </w:r>
    </w:p>
    <w:p w14:paraId="365E9A9F" w14:textId="77777777" w:rsidR="00BC0FE0" w:rsidRPr="00AB11AD" w:rsidRDefault="00000000">
      <w:pPr>
        <w:keepNext/>
        <w:rPr>
          <w:rFonts w:ascii="Times New Roman" w:hAnsi="Times New Roman" w:cs="Times New Roman"/>
          <w:sz w:val="28"/>
          <w:szCs w:val="28"/>
        </w:rPr>
      </w:pPr>
      <w:r w:rsidRPr="00AB11AD">
        <w:rPr>
          <w:rFonts w:ascii="Times New Roman" w:hAnsi="Times New Roman" w:cs="Times New Roman"/>
          <w:b/>
          <w:sz w:val="28"/>
          <w:szCs w:val="28"/>
        </w:rPr>
        <w:t>Figure 1. Construction, interfacial properties, and photovoltaic performance of the sequential dual-SAM contact.</w:t>
      </w:r>
      <w:r w:rsidRPr="00AB11AD">
        <w:rPr>
          <w:rFonts w:ascii="Times New Roman" w:hAnsi="Times New Roman" w:cs="Times New Roman"/>
          <w:sz w:val="28"/>
          <w:szCs w:val="28"/>
        </w:rPr>
        <w:t xml:space="preserve"> (a) Molecular structures of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schematic illustration of the sequential deposition process on </w:t>
      </w:r>
      <w:r w:rsidRPr="00AB11AD">
        <w:rPr>
          <w:rFonts w:ascii="Times New Roman" w:hAnsi="Times New Roman" w:cs="Times New Roman"/>
          <w:color w:val="2E5D7B"/>
          <w:sz w:val="21"/>
          <w:szCs w:val="28"/>
          <w:shd w:val="clear" w:color="auto" w:fill="F2F4F6"/>
        </w:rPr>
        <w:t>[SUBSTRATE]</w:t>
      </w:r>
      <w:r w:rsidRPr="00AB11AD">
        <w:rPr>
          <w:rFonts w:ascii="Times New Roman" w:hAnsi="Times New Roman" w:cs="Times New Roman"/>
          <w:sz w:val="28"/>
          <w:szCs w:val="28"/>
        </w:rPr>
        <w:t xml:space="preserve">. (b) XPS spectra showing the characteristic signals of </w:t>
      </w:r>
      <w:r w:rsidRPr="00AB11AD">
        <w:rPr>
          <w:rFonts w:ascii="Times New Roman" w:hAnsi="Times New Roman" w:cs="Times New Roman"/>
          <w:color w:val="2E5D7B"/>
          <w:sz w:val="21"/>
          <w:szCs w:val="28"/>
          <w:shd w:val="clear" w:color="auto" w:fill="F2F4F6"/>
        </w:rPr>
        <w:t>[SAM-A]</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(c) </w:t>
      </w:r>
      <w:r w:rsidRPr="00AB11AD">
        <w:rPr>
          <w:rFonts w:ascii="Times New Roman" w:hAnsi="Times New Roman" w:cs="Times New Roman"/>
          <w:sz w:val="28"/>
          <w:szCs w:val="28"/>
        </w:rPr>
        <w:lastRenderedPageBreak/>
        <w:t xml:space="preserve">KPFM surface-potential maps and corresponding potential distributions of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 UPS secondary-electron cutoff and valence-region spectra. (e) Energy-level diagram of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[PEROVSKITE]</w:t>
      </w:r>
      <w:r w:rsidRPr="00AB11AD">
        <w:rPr>
          <w:rFonts w:ascii="Times New Roman" w:hAnsi="Times New Roman" w:cs="Times New Roman"/>
          <w:sz w:val="28"/>
          <w:szCs w:val="28"/>
        </w:rPr>
        <w:t xml:space="preserve">. (f,g) SEM images of the perovskite buried interfaces formed 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respectively. (h) Current-density-voltage curves of the champion </w:t>
      </w:r>
      <w:r w:rsidRPr="00AB11AD">
        <w:rPr>
          <w:rFonts w:ascii="Times New Roman" w:hAnsi="Times New Roman" w:cs="Times New Roman"/>
          <w:color w:val="2E5D7B"/>
          <w:sz w:val="21"/>
          <w:szCs w:val="28"/>
          <w:shd w:val="clear" w:color="auto" w:fill="F2F4F6"/>
        </w:rPr>
        <w:t>[CONTROL]</w:t>
      </w:r>
      <w:r w:rsidRPr="00AB11AD">
        <w:rPr>
          <w:rFonts w:ascii="Times New Roman" w:hAnsi="Times New Roman" w:cs="Times New Roman"/>
          <w:sz w:val="28"/>
          <w:szCs w:val="28"/>
        </w:rPr>
        <w:t xml:space="preserve">, </w:t>
      </w:r>
      <w:r w:rsidRPr="00AB11AD">
        <w:rPr>
          <w:rFonts w:ascii="Times New Roman" w:hAnsi="Times New Roman" w:cs="Times New Roman"/>
          <w:color w:val="2E5D7B"/>
          <w:sz w:val="21"/>
          <w:szCs w:val="28"/>
          <w:shd w:val="clear" w:color="auto" w:fill="F2F4F6"/>
        </w:rPr>
        <w:t>[SAM-B]</w:t>
      </w:r>
      <w:r w:rsidRPr="00AB11AD">
        <w:rPr>
          <w:rFonts w:ascii="Times New Roman" w:hAnsi="Times New Roman" w:cs="Times New Roman"/>
          <w:sz w:val="28"/>
          <w:szCs w:val="28"/>
        </w:rPr>
        <w:t xml:space="preserve">, and </w:t>
      </w:r>
      <w:r w:rsidRPr="00AB11AD">
        <w:rPr>
          <w:rFonts w:ascii="Times New Roman" w:hAnsi="Times New Roman" w:cs="Times New Roman"/>
          <w:color w:val="2E5D7B"/>
          <w:sz w:val="21"/>
          <w:szCs w:val="28"/>
          <w:shd w:val="clear" w:color="auto" w:fill="F2F4F6"/>
        </w:rPr>
        <w:t>[BL-SAM]</w:t>
      </w:r>
      <w:r w:rsidRPr="00AB11AD">
        <w:rPr>
          <w:rFonts w:ascii="Times New Roman" w:hAnsi="Times New Roman" w:cs="Times New Roman"/>
          <w:sz w:val="28"/>
          <w:szCs w:val="28"/>
        </w:rPr>
        <w:t xml:space="preserve"> devices. (i) Statistical distributions of PCE, Voc, Jsc, and FF obtained from </w:t>
      </w:r>
      <w:r w:rsidRPr="00AB11AD">
        <w:rPr>
          <w:rFonts w:ascii="Times New Roman" w:hAnsi="Times New Roman" w:cs="Times New Roman"/>
          <w:color w:val="2E5D7B"/>
          <w:sz w:val="21"/>
          <w:szCs w:val="28"/>
          <w:shd w:val="clear" w:color="auto" w:fill="F2F4F6"/>
        </w:rPr>
        <w:t>[N]</w:t>
      </w:r>
      <w:r w:rsidRPr="00AB11AD">
        <w:rPr>
          <w:rFonts w:ascii="Times New Roman" w:hAnsi="Times New Roman" w:cs="Times New Roman"/>
          <w:sz w:val="28"/>
          <w:szCs w:val="28"/>
        </w:rPr>
        <w:t xml:space="preserve"> independent devices. Error bars represent </w:t>
      </w:r>
      <w:r w:rsidRPr="00AB11AD">
        <w:rPr>
          <w:rFonts w:ascii="Times New Roman" w:hAnsi="Times New Roman" w:cs="Times New Roman"/>
          <w:color w:val="2E5D7B"/>
          <w:sz w:val="21"/>
          <w:szCs w:val="28"/>
          <w:shd w:val="clear" w:color="auto" w:fill="F2F4F6"/>
        </w:rPr>
        <w:t>[STANDARD DEVIATION/STANDARD ERROR]</w:t>
      </w:r>
      <w:r w:rsidRPr="00AB11AD">
        <w:rPr>
          <w:rFonts w:ascii="Times New Roman" w:hAnsi="Times New Roman" w:cs="Times New Roman"/>
          <w:sz w:val="28"/>
          <w:szCs w:val="28"/>
        </w:rPr>
        <w:t>.</w:t>
      </w:r>
    </w:p>
    <w:p w14:paraId="665E9662"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Table 1 Template</w:t>
      </w:r>
    </w:p>
    <w:p w14:paraId="55BC1886" w14:textId="77777777" w:rsidR="00BC0FE0" w:rsidRPr="00AB11AD" w:rsidRDefault="00000000">
      <w:pPr>
        <w:keepNext/>
        <w:rPr>
          <w:rFonts w:ascii="Times New Roman" w:hAnsi="Times New Roman" w:cs="Times New Roman"/>
          <w:sz w:val="28"/>
          <w:szCs w:val="28"/>
        </w:rPr>
      </w:pPr>
      <w:r w:rsidRPr="00AB11AD">
        <w:rPr>
          <w:rFonts w:ascii="Times New Roman" w:hAnsi="Times New Roman" w:cs="Times New Roman"/>
          <w:b/>
          <w:sz w:val="28"/>
          <w:szCs w:val="28"/>
        </w:rPr>
        <w:t>Table 1. Photovoltaic parameters of champion devices based on different hole-selective contacts.</w:t>
      </w:r>
    </w:p>
    <w:tbl>
      <w:tblPr>
        <w:tblW w:w="0" w:type="auto"/>
        <w:jc w:val="center"/>
        <w:tblBorders>
          <w:top w:val="single" w:sz="4" w:space="0" w:color="AEB8C2"/>
          <w:left w:val="single" w:sz="4" w:space="0" w:color="AEB8C2"/>
          <w:bottom w:val="single" w:sz="4" w:space="0" w:color="AEB8C2"/>
          <w:right w:val="single" w:sz="4" w:space="0" w:color="AEB8C2"/>
          <w:insideH w:val="single" w:sz="4" w:space="0" w:color="AEB8C2"/>
          <w:insideV w:val="single" w:sz="4" w:space="0" w:color="AEB8C2"/>
        </w:tblBorders>
        <w:tblLayout w:type="fixed"/>
        <w:tblLook w:val="04A0" w:firstRow="1" w:lastRow="0" w:firstColumn="1" w:lastColumn="0" w:noHBand="0" w:noVBand="1"/>
      </w:tblPr>
      <w:tblGrid>
        <w:gridCol w:w="1800"/>
        <w:gridCol w:w="1224"/>
        <w:gridCol w:w="1037"/>
        <w:gridCol w:w="1440"/>
        <w:gridCol w:w="893"/>
        <w:gridCol w:w="1037"/>
        <w:gridCol w:w="1642"/>
      </w:tblGrid>
      <w:tr w:rsidR="00BC0FE0" w:rsidRPr="00AB11AD" w14:paraId="5425482D" w14:textId="77777777">
        <w:trPr>
          <w:tblHeader/>
          <w:jc w:val="center"/>
        </w:trPr>
        <w:tc>
          <w:tcPr>
            <w:tcW w:w="1800" w:type="dxa"/>
            <w:shd w:val="clear" w:color="auto" w:fill="EAF0F4"/>
            <w:tcMar>
              <w:top w:w="90" w:type="dxa"/>
              <w:left w:w="100" w:type="dxa"/>
              <w:bottom w:w="90" w:type="dxa"/>
              <w:right w:w="100" w:type="dxa"/>
            </w:tcMar>
            <w:vAlign w:val="center"/>
          </w:tcPr>
          <w:p w14:paraId="2C05AE3D"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b/>
                <w:sz w:val="20"/>
                <w:szCs w:val="28"/>
              </w:rPr>
              <w:t>Hole-selective contact</w:t>
            </w:r>
          </w:p>
        </w:tc>
        <w:tc>
          <w:tcPr>
            <w:tcW w:w="1224" w:type="dxa"/>
            <w:shd w:val="clear" w:color="auto" w:fill="EAF0F4"/>
            <w:tcMar>
              <w:top w:w="90" w:type="dxa"/>
              <w:left w:w="100" w:type="dxa"/>
              <w:bottom w:w="90" w:type="dxa"/>
              <w:right w:w="100" w:type="dxa"/>
            </w:tcMar>
            <w:vAlign w:val="center"/>
          </w:tcPr>
          <w:p w14:paraId="70FA20A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Scan direction</w:t>
            </w:r>
          </w:p>
        </w:tc>
        <w:tc>
          <w:tcPr>
            <w:tcW w:w="1037" w:type="dxa"/>
            <w:shd w:val="clear" w:color="auto" w:fill="EAF0F4"/>
            <w:tcMar>
              <w:top w:w="90" w:type="dxa"/>
              <w:left w:w="100" w:type="dxa"/>
              <w:bottom w:w="90" w:type="dxa"/>
              <w:right w:w="100" w:type="dxa"/>
            </w:tcMar>
            <w:vAlign w:val="center"/>
          </w:tcPr>
          <w:p w14:paraId="46C4170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Voc (V)</w:t>
            </w:r>
          </w:p>
        </w:tc>
        <w:tc>
          <w:tcPr>
            <w:tcW w:w="1440" w:type="dxa"/>
            <w:shd w:val="clear" w:color="auto" w:fill="EAF0F4"/>
            <w:tcMar>
              <w:top w:w="90" w:type="dxa"/>
              <w:left w:w="100" w:type="dxa"/>
              <w:bottom w:w="90" w:type="dxa"/>
              <w:right w:w="100" w:type="dxa"/>
            </w:tcMar>
            <w:vAlign w:val="center"/>
          </w:tcPr>
          <w:p w14:paraId="6BB4A915"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Jsc (mA cm-2)</w:t>
            </w:r>
          </w:p>
        </w:tc>
        <w:tc>
          <w:tcPr>
            <w:tcW w:w="893" w:type="dxa"/>
            <w:shd w:val="clear" w:color="auto" w:fill="EAF0F4"/>
            <w:tcMar>
              <w:top w:w="90" w:type="dxa"/>
              <w:left w:w="100" w:type="dxa"/>
              <w:bottom w:w="90" w:type="dxa"/>
              <w:right w:w="100" w:type="dxa"/>
            </w:tcMar>
            <w:vAlign w:val="center"/>
          </w:tcPr>
          <w:p w14:paraId="0CC76B4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FF (%)</w:t>
            </w:r>
          </w:p>
        </w:tc>
        <w:tc>
          <w:tcPr>
            <w:tcW w:w="1037" w:type="dxa"/>
            <w:shd w:val="clear" w:color="auto" w:fill="EAF0F4"/>
            <w:tcMar>
              <w:top w:w="90" w:type="dxa"/>
              <w:left w:w="100" w:type="dxa"/>
              <w:bottom w:w="90" w:type="dxa"/>
              <w:right w:w="100" w:type="dxa"/>
            </w:tcMar>
            <w:vAlign w:val="center"/>
          </w:tcPr>
          <w:p w14:paraId="596BB5A5"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PCE (%)</w:t>
            </w:r>
          </w:p>
        </w:tc>
        <w:tc>
          <w:tcPr>
            <w:tcW w:w="1642" w:type="dxa"/>
            <w:shd w:val="clear" w:color="auto" w:fill="EAF0F4"/>
            <w:tcMar>
              <w:top w:w="90" w:type="dxa"/>
              <w:left w:w="100" w:type="dxa"/>
              <w:bottom w:w="90" w:type="dxa"/>
              <w:right w:w="100" w:type="dxa"/>
            </w:tcMar>
            <w:vAlign w:val="center"/>
          </w:tcPr>
          <w:p w14:paraId="14246AE3"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b/>
                <w:sz w:val="20"/>
                <w:szCs w:val="28"/>
              </w:rPr>
              <w:t>Stabilized PCE (%)</w:t>
            </w:r>
          </w:p>
        </w:tc>
      </w:tr>
      <w:tr w:rsidR="00BC0FE0" w:rsidRPr="00AB11AD" w14:paraId="2B131A94" w14:textId="77777777">
        <w:trPr>
          <w:jc w:val="center"/>
        </w:trPr>
        <w:tc>
          <w:tcPr>
            <w:tcW w:w="1800" w:type="dxa"/>
            <w:tcMar>
              <w:top w:w="90" w:type="dxa"/>
              <w:left w:w="100" w:type="dxa"/>
              <w:bottom w:w="90" w:type="dxa"/>
              <w:right w:w="100" w:type="dxa"/>
            </w:tcMar>
            <w:vAlign w:val="center"/>
          </w:tcPr>
          <w:p w14:paraId="354ECBA7"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shd w:val="clear" w:color="auto" w:fill="F2F4F6"/>
              </w:rPr>
              <w:t>[SAM-A]</w:t>
            </w:r>
          </w:p>
        </w:tc>
        <w:tc>
          <w:tcPr>
            <w:tcW w:w="1224" w:type="dxa"/>
            <w:tcMar>
              <w:top w:w="90" w:type="dxa"/>
              <w:left w:w="100" w:type="dxa"/>
              <w:bottom w:w="90" w:type="dxa"/>
              <w:right w:w="100" w:type="dxa"/>
            </w:tcMar>
            <w:vAlign w:val="center"/>
          </w:tcPr>
          <w:p w14:paraId="2AE78F53"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Reverse</w:t>
            </w:r>
          </w:p>
        </w:tc>
        <w:tc>
          <w:tcPr>
            <w:tcW w:w="1037" w:type="dxa"/>
            <w:tcMar>
              <w:top w:w="90" w:type="dxa"/>
              <w:left w:w="100" w:type="dxa"/>
              <w:bottom w:w="90" w:type="dxa"/>
              <w:right w:w="100" w:type="dxa"/>
            </w:tcMar>
            <w:vAlign w:val="center"/>
          </w:tcPr>
          <w:p w14:paraId="10722BD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07086B9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69133D57"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22251E2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0501A492"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r>
      <w:tr w:rsidR="00BC0FE0" w:rsidRPr="00AB11AD" w14:paraId="1AED57C9" w14:textId="77777777">
        <w:trPr>
          <w:jc w:val="center"/>
        </w:trPr>
        <w:tc>
          <w:tcPr>
            <w:tcW w:w="1800" w:type="dxa"/>
            <w:tcMar>
              <w:top w:w="90" w:type="dxa"/>
              <w:left w:w="100" w:type="dxa"/>
              <w:bottom w:w="90" w:type="dxa"/>
              <w:right w:w="100" w:type="dxa"/>
            </w:tcMar>
            <w:vAlign w:val="center"/>
          </w:tcPr>
          <w:p w14:paraId="16EF79AF"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shd w:val="clear" w:color="auto" w:fill="F2F4F6"/>
              </w:rPr>
              <w:t>[SAM-B]</w:t>
            </w:r>
          </w:p>
        </w:tc>
        <w:tc>
          <w:tcPr>
            <w:tcW w:w="1224" w:type="dxa"/>
            <w:tcMar>
              <w:top w:w="90" w:type="dxa"/>
              <w:left w:w="100" w:type="dxa"/>
              <w:bottom w:w="90" w:type="dxa"/>
              <w:right w:w="100" w:type="dxa"/>
            </w:tcMar>
            <w:vAlign w:val="center"/>
          </w:tcPr>
          <w:p w14:paraId="7C1BE0D9"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Reverse</w:t>
            </w:r>
          </w:p>
        </w:tc>
        <w:tc>
          <w:tcPr>
            <w:tcW w:w="1037" w:type="dxa"/>
            <w:tcMar>
              <w:top w:w="90" w:type="dxa"/>
              <w:left w:w="100" w:type="dxa"/>
              <w:bottom w:w="90" w:type="dxa"/>
              <w:right w:w="100" w:type="dxa"/>
            </w:tcMar>
            <w:vAlign w:val="center"/>
          </w:tcPr>
          <w:p w14:paraId="548DE07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61E903F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434A8A5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1DAA743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2F3838F2"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r>
      <w:tr w:rsidR="00BC0FE0" w:rsidRPr="00AB11AD" w14:paraId="533B6F74" w14:textId="77777777">
        <w:trPr>
          <w:jc w:val="center"/>
        </w:trPr>
        <w:tc>
          <w:tcPr>
            <w:tcW w:w="1800" w:type="dxa"/>
            <w:tcMar>
              <w:top w:w="90" w:type="dxa"/>
              <w:left w:w="100" w:type="dxa"/>
              <w:bottom w:w="90" w:type="dxa"/>
              <w:right w:w="100" w:type="dxa"/>
            </w:tcMar>
            <w:vAlign w:val="center"/>
          </w:tcPr>
          <w:p w14:paraId="1E4D7285"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rPr>
              <w:t>Co-SAM</w:t>
            </w:r>
          </w:p>
        </w:tc>
        <w:tc>
          <w:tcPr>
            <w:tcW w:w="1224" w:type="dxa"/>
            <w:tcMar>
              <w:top w:w="90" w:type="dxa"/>
              <w:left w:w="100" w:type="dxa"/>
              <w:bottom w:w="90" w:type="dxa"/>
              <w:right w:w="100" w:type="dxa"/>
            </w:tcMar>
            <w:vAlign w:val="center"/>
          </w:tcPr>
          <w:p w14:paraId="1C2F0A25"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Reverse</w:t>
            </w:r>
          </w:p>
        </w:tc>
        <w:tc>
          <w:tcPr>
            <w:tcW w:w="1037" w:type="dxa"/>
            <w:tcMar>
              <w:top w:w="90" w:type="dxa"/>
              <w:left w:w="100" w:type="dxa"/>
              <w:bottom w:w="90" w:type="dxa"/>
              <w:right w:w="100" w:type="dxa"/>
            </w:tcMar>
            <w:vAlign w:val="center"/>
          </w:tcPr>
          <w:p w14:paraId="53A4FF43"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7BE194A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18112A1B"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65891A75"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57C8F3BD"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r>
      <w:tr w:rsidR="00BC0FE0" w:rsidRPr="00AB11AD" w14:paraId="010B9D96" w14:textId="77777777">
        <w:trPr>
          <w:jc w:val="center"/>
        </w:trPr>
        <w:tc>
          <w:tcPr>
            <w:tcW w:w="1800" w:type="dxa"/>
            <w:tcMar>
              <w:top w:w="90" w:type="dxa"/>
              <w:left w:w="100" w:type="dxa"/>
              <w:bottom w:w="90" w:type="dxa"/>
              <w:right w:w="100" w:type="dxa"/>
            </w:tcMar>
            <w:vAlign w:val="center"/>
          </w:tcPr>
          <w:p w14:paraId="2A2F8E28"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rPr>
              <w:t>Reverse bilayer</w:t>
            </w:r>
          </w:p>
        </w:tc>
        <w:tc>
          <w:tcPr>
            <w:tcW w:w="1224" w:type="dxa"/>
            <w:tcMar>
              <w:top w:w="90" w:type="dxa"/>
              <w:left w:w="100" w:type="dxa"/>
              <w:bottom w:w="90" w:type="dxa"/>
              <w:right w:w="100" w:type="dxa"/>
            </w:tcMar>
            <w:vAlign w:val="center"/>
          </w:tcPr>
          <w:p w14:paraId="7D6D664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Reverse</w:t>
            </w:r>
          </w:p>
        </w:tc>
        <w:tc>
          <w:tcPr>
            <w:tcW w:w="1037" w:type="dxa"/>
            <w:tcMar>
              <w:top w:w="90" w:type="dxa"/>
              <w:left w:w="100" w:type="dxa"/>
              <w:bottom w:w="90" w:type="dxa"/>
              <w:right w:w="100" w:type="dxa"/>
            </w:tcMar>
            <w:vAlign w:val="center"/>
          </w:tcPr>
          <w:p w14:paraId="68F9922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4968AC6C"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4FAB854C"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02259B3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77BF4D7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r>
      <w:tr w:rsidR="00BC0FE0" w:rsidRPr="00AB11AD" w14:paraId="7E9037FE" w14:textId="77777777">
        <w:trPr>
          <w:jc w:val="center"/>
        </w:trPr>
        <w:tc>
          <w:tcPr>
            <w:tcW w:w="1800" w:type="dxa"/>
            <w:tcMar>
              <w:top w:w="90" w:type="dxa"/>
              <w:left w:w="100" w:type="dxa"/>
              <w:bottom w:w="90" w:type="dxa"/>
              <w:right w:w="100" w:type="dxa"/>
            </w:tcMar>
            <w:vAlign w:val="center"/>
          </w:tcPr>
          <w:p w14:paraId="35A93552"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shd w:val="clear" w:color="auto" w:fill="F2F4F6"/>
              </w:rPr>
              <w:t>[BL-SAM]</w:t>
            </w:r>
          </w:p>
        </w:tc>
        <w:tc>
          <w:tcPr>
            <w:tcW w:w="1224" w:type="dxa"/>
            <w:tcMar>
              <w:top w:w="90" w:type="dxa"/>
              <w:left w:w="100" w:type="dxa"/>
              <w:bottom w:w="90" w:type="dxa"/>
              <w:right w:w="100" w:type="dxa"/>
            </w:tcMar>
            <w:vAlign w:val="center"/>
          </w:tcPr>
          <w:p w14:paraId="376F5C9D"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Reverse</w:t>
            </w:r>
          </w:p>
        </w:tc>
        <w:tc>
          <w:tcPr>
            <w:tcW w:w="1037" w:type="dxa"/>
            <w:tcMar>
              <w:top w:w="90" w:type="dxa"/>
              <w:left w:w="100" w:type="dxa"/>
              <w:bottom w:w="90" w:type="dxa"/>
              <w:right w:w="100" w:type="dxa"/>
            </w:tcMar>
            <w:vAlign w:val="center"/>
          </w:tcPr>
          <w:p w14:paraId="4640BF76"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3CFDF632"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75DABE5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63C427AE"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77331A98"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r>
      <w:tr w:rsidR="00BC0FE0" w:rsidRPr="00AB11AD" w14:paraId="19848159" w14:textId="77777777">
        <w:trPr>
          <w:jc w:val="center"/>
        </w:trPr>
        <w:tc>
          <w:tcPr>
            <w:tcW w:w="1800" w:type="dxa"/>
            <w:tcMar>
              <w:top w:w="90" w:type="dxa"/>
              <w:left w:w="100" w:type="dxa"/>
              <w:bottom w:w="90" w:type="dxa"/>
              <w:right w:w="100" w:type="dxa"/>
            </w:tcMar>
            <w:vAlign w:val="center"/>
          </w:tcPr>
          <w:p w14:paraId="7DC1185C" w14:textId="77777777" w:rsidR="00BC0FE0" w:rsidRPr="00AB11AD" w:rsidRDefault="00000000">
            <w:pPr>
              <w:spacing w:after="0" w:line="240" w:lineRule="auto"/>
              <w:rPr>
                <w:rFonts w:ascii="Times New Roman" w:hAnsi="Times New Roman" w:cs="Times New Roman"/>
                <w:sz w:val="28"/>
                <w:szCs w:val="28"/>
              </w:rPr>
            </w:pPr>
            <w:r w:rsidRPr="00AB11AD">
              <w:rPr>
                <w:rFonts w:ascii="Times New Roman" w:hAnsi="Times New Roman" w:cs="Times New Roman"/>
                <w:sz w:val="20"/>
                <w:szCs w:val="28"/>
                <w:shd w:val="clear" w:color="auto" w:fill="F2F4F6"/>
              </w:rPr>
              <w:t>[BL-SAM]</w:t>
            </w:r>
          </w:p>
        </w:tc>
        <w:tc>
          <w:tcPr>
            <w:tcW w:w="1224" w:type="dxa"/>
            <w:tcMar>
              <w:top w:w="90" w:type="dxa"/>
              <w:left w:w="100" w:type="dxa"/>
              <w:bottom w:w="90" w:type="dxa"/>
              <w:right w:w="100" w:type="dxa"/>
            </w:tcMar>
            <w:vAlign w:val="center"/>
          </w:tcPr>
          <w:p w14:paraId="73D082D2"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Forward</w:t>
            </w:r>
          </w:p>
        </w:tc>
        <w:tc>
          <w:tcPr>
            <w:tcW w:w="1037" w:type="dxa"/>
            <w:tcMar>
              <w:top w:w="90" w:type="dxa"/>
              <w:left w:w="100" w:type="dxa"/>
              <w:bottom w:w="90" w:type="dxa"/>
              <w:right w:w="100" w:type="dxa"/>
            </w:tcMar>
            <w:vAlign w:val="center"/>
          </w:tcPr>
          <w:p w14:paraId="2137A6CE"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440" w:type="dxa"/>
            <w:tcMar>
              <w:top w:w="90" w:type="dxa"/>
              <w:left w:w="100" w:type="dxa"/>
              <w:bottom w:w="90" w:type="dxa"/>
              <w:right w:w="100" w:type="dxa"/>
            </w:tcMar>
            <w:vAlign w:val="center"/>
          </w:tcPr>
          <w:p w14:paraId="6F06F1B1"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893" w:type="dxa"/>
            <w:tcMar>
              <w:top w:w="90" w:type="dxa"/>
              <w:left w:w="100" w:type="dxa"/>
              <w:bottom w:w="90" w:type="dxa"/>
              <w:right w:w="100" w:type="dxa"/>
            </w:tcMar>
            <w:vAlign w:val="center"/>
          </w:tcPr>
          <w:p w14:paraId="787310BA"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037" w:type="dxa"/>
            <w:tcMar>
              <w:top w:w="90" w:type="dxa"/>
              <w:left w:w="100" w:type="dxa"/>
              <w:bottom w:w="90" w:type="dxa"/>
              <w:right w:w="100" w:type="dxa"/>
            </w:tcMar>
            <w:vAlign w:val="center"/>
          </w:tcPr>
          <w:p w14:paraId="7155B278"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shd w:val="clear" w:color="auto" w:fill="F2F4F6"/>
              </w:rPr>
              <w:t>[X]</w:t>
            </w:r>
          </w:p>
        </w:tc>
        <w:tc>
          <w:tcPr>
            <w:tcW w:w="1642" w:type="dxa"/>
            <w:tcMar>
              <w:top w:w="90" w:type="dxa"/>
              <w:left w:w="100" w:type="dxa"/>
              <w:bottom w:w="90" w:type="dxa"/>
              <w:right w:w="100" w:type="dxa"/>
            </w:tcMar>
            <w:vAlign w:val="center"/>
          </w:tcPr>
          <w:p w14:paraId="7FAC8C04" w14:textId="77777777" w:rsidR="00BC0FE0" w:rsidRPr="00AB11AD" w:rsidRDefault="00000000">
            <w:pPr>
              <w:spacing w:after="0" w:line="240" w:lineRule="auto"/>
              <w:jc w:val="center"/>
              <w:rPr>
                <w:rFonts w:ascii="Times New Roman" w:hAnsi="Times New Roman" w:cs="Times New Roman"/>
                <w:sz w:val="28"/>
                <w:szCs w:val="28"/>
              </w:rPr>
            </w:pPr>
            <w:r w:rsidRPr="00AB11AD">
              <w:rPr>
                <w:rFonts w:ascii="Times New Roman" w:hAnsi="Times New Roman" w:cs="Times New Roman"/>
                <w:sz w:val="20"/>
                <w:szCs w:val="28"/>
              </w:rPr>
              <w:t>-</w:t>
            </w:r>
          </w:p>
        </w:tc>
      </w:tr>
    </w:tbl>
    <w:p w14:paraId="0B62EB9B" w14:textId="77777777" w:rsidR="00BC0FE0" w:rsidRPr="00AB11AD" w:rsidRDefault="00BC0FE0">
      <w:pPr>
        <w:spacing w:after="40"/>
        <w:rPr>
          <w:rFonts w:ascii="Times New Roman" w:hAnsi="Times New Roman" w:cs="Times New Roman"/>
          <w:sz w:val="28"/>
          <w:szCs w:val="28"/>
        </w:rPr>
      </w:pPr>
    </w:p>
    <w:p w14:paraId="6CF55C97" w14:textId="77777777" w:rsidR="00BC0FE0" w:rsidRPr="00AB11AD" w:rsidRDefault="00000000">
      <w:pPr>
        <w:pStyle w:val="1"/>
        <w:rPr>
          <w:rFonts w:ascii="Times New Roman" w:hAnsi="Times New Roman" w:cs="Times New Roman"/>
          <w:sz w:val="40"/>
          <w:szCs w:val="36"/>
        </w:rPr>
      </w:pPr>
      <w:r w:rsidRPr="00AB11AD">
        <w:rPr>
          <w:rFonts w:ascii="Times New Roman" w:hAnsi="Times New Roman" w:cs="Times New Roman"/>
          <w:sz w:val="40"/>
          <w:szCs w:val="36"/>
        </w:rPr>
        <w:t>Recommended Supporting Figures for This Section</w:t>
      </w:r>
    </w:p>
    <w:p w14:paraId="1BEE1168"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S1:</w:t>
      </w:r>
      <w:r w:rsidRPr="00AB11AD">
        <w:rPr>
          <w:rFonts w:ascii="Times New Roman" w:hAnsi="Times New Roman" w:cs="Times New Roman"/>
          <w:sz w:val="24"/>
          <w:szCs w:val="28"/>
        </w:rPr>
        <w:t xml:space="preserve"> Full XPS survey spectra, high-resolution core-level fitting, and solvent-rinsing control.</w:t>
      </w:r>
    </w:p>
    <w:p w14:paraId="171E82B3"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S2:</w:t>
      </w:r>
      <w:r w:rsidRPr="00AB11AD">
        <w:rPr>
          <w:rFonts w:ascii="Times New Roman" w:hAnsi="Times New Roman" w:cs="Times New Roman"/>
          <w:sz w:val="24"/>
          <w:szCs w:val="28"/>
        </w:rPr>
        <w:t xml:space="preserve"> ToF-SIMS depth profiles and assignments of characteristic molecular fragments.</w:t>
      </w:r>
    </w:p>
    <w:p w14:paraId="0888BE2F"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S3:</w:t>
      </w:r>
      <w:r w:rsidRPr="00AB11AD">
        <w:rPr>
          <w:rFonts w:ascii="Times New Roman" w:hAnsi="Times New Roman" w:cs="Times New Roman"/>
          <w:sz w:val="24"/>
          <w:szCs w:val="28"/>
        </w:rPr>
        <w:t xml:space="preserve"> AFM topography, root-mean-square roughness, and line profiles.</w:t>
      </w:r>
    </w:p>
    <w:p w14:paraId="00F4CA8C"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S4:</w:t>
      </w:r>
      <w:r w:rsidRPr="00AB11AD">
        <w:rPr>
          <w:rFonts w:ascii="Times New Roman" w:hAnsi="Times New Roman" w:cs="Times New Roman"/>
          <w:sz w:val="24"/>
          <w:szCs w:val="28"/>
        </w:rPr>
        <w:t xml:space="preserve"> Water and perovskite-precursor contact angles and spreading images.</w:t>
      </w:r>
    </w:p>
    <w:p w14:paraId="4A0B1C8C"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S5:</w:t>
      </w:r>
      <w:r w:rsidRPr="00AB11AD">
        <w:rPr>
          <w:rFonts w:ascii="Times New Roman" w:hAnsi="Times New Roman" w:cs="Times New Roman"/>
          <w:sz w:val="24"/>
          <w:szCs w:val="28"/>
        </w:rPr>
        <w:t xml:space="preserve"> Complete UPS spectra and calculation of the work function and HOMO onset.</w:t>
      </w:r>
    </w:p>
    <w:p w14:paraId="27530FD6"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S6:</w:t>
      </w:r>
      <w:r w:rsidRPr="00AB11AD">
        <w:rPr>
          <w:rFonts w:ascii="Times New Roman" w:hAnsi="Times New Roman" w:cs="Times New Roman"/>
          <w:sz w:val="24"/>
          <w:szCs w:val="28"/>
        </w:rPr>
        <w:t xml:space="preserve"> Top-view and cross-sectional SEM images and grain-size distributions.</w:t>
      </w:r>
    </w:p>
    <w:p w14:paraId="3893560A"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S7:</w:t>
      </w:r>
      <w:r w:rsidRPr="00AB11AD">
        <w:rPr>
          <w:rFonts w:ascii="Times New Roman" w:hAnsi="Times New Roman" w:cs="Times New Roman"/>
          <w:sz w:val="24"/>
          <w:szCs w:val="28"/>
        </w:rPr>
        <w:t xml:space="preserve"> EQE spectra and integrated current densities.</w:t>
      </w:r>
    </w:p>
    <w:p w14:paraId="07589A8C" w14:textId="77777777" w:rsidR="00BC0FE0" w:rsidRPr="00AB11AD" w:rsidRDefault="00000000">
      <w:pPr>
        <w:pStyle w:val="a0"/>
        <w:rPr>
          <w:rFonts w:ascii="Times New Roman" w:hAnsi="Times New Roman" w:cs="Times New Roman"/>
          <w:sz w:val="24"/>
          <w:szCs w:val="28"/>
        </w:rPr>
      </w:pPr>
      <w:r w:rsidRPr="00AB11AD">
        <w:rPr>
          <w:rFonts w:ascii="Times New Roman" w:hAnsi="Times New Roman" w:cs="Times New Roman"/>
          <w:b/>
          <w:sz w:val="24"/>
          <w:szCs w:val="28"/>
        </w:rPr>
        <w:t>Figure S8:</w:t>
      </w:r>
      <w:r w:rsidRPr="00AB11AD">
        <w:rPr>
          <w:rFonts w:ascii="Times New Roman" w:hAnsi="Times New Roman" w:cs="Times New Roman"/>
          <w:sz w:val="24"/>
          <w:szCs w:val="28"/>
        </w:rPr>
        <w:t xml:space="preserve"> Device statistics from multiple batches, forward/reverse scans, and stabilized power output.</w:t>
      </w:r>
    </w:p>
    <w:sectPr w:rsidR="00BC0FE0" w:rsidRPr="00AB11AD" w:rsidSect="00034616">
      <w:footerReference w:type="default" r:id="rId8"/>
      <w:pgSz w:w="12240" w:h="15840"/>
      <w:pgMar w:top="1224" w:right="1296" w:bottom="1152" w:left="1296"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BACBC" w14:textId="77777777" w:rsidR="00522863" w:rsidRDefault="00522863">
      <w:pPr>
        <w:spacing w:after="0" w:line="240" w:lineRule="auto"/>
      </w:pPr>
      <w:r>
        <w:separator/>
      </w:r>
    </w:p>
  </w:endnote>
  <w:endnote w:type="continuationSeparator" w:id="0">
    <w:p w14:paraId="1D37D54F" w14:textId="77777777" w:rsidR="00522863" w:rsidRDefault="005228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7A14E" w14:textId="77777777" w:rsidR="00BC0FE0" w:rsidRDefault="00000000">
    <w:pPr>
      <w:pStyle w:val="a7"/>
      <w:jc w:val="right"/>
    </w:pPr>
    <w:r>
      <w:rPr>
        <w:color w:val="66727D"/>
        <w:sz w:val="18"/>
      </w:rPr>
      <w:fldChar w:fldCharType="begin"/>
    </w:r>
    <w:r>
      <w:rPr>
        <w:color w:val="66727D"/>
        <w:sz w:val="18"/>
      </w:rPr>
      <w:instrText xml:space="preserve"> PAGE </w:instrText>
    </w:r>
    <w:r>
      <w:rPr>
        <w:color w:val="66727D"/>
        <w:sz w:val="18"/>
      </w:rPr>
      <w:fldChar w:fldCharType="separate"/>
    </w:r>
    <w:r>
      <w:rPr>
        <w:color w:val="66727D"/>
        <w:sz w:val="18"/>
      </w:rPr>
      <w:t>1</w:t>
    </w:r>
    <w:r>
      <w:rPr>
        <w:color w:val="66727D"/>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519E9" w14:textId="77777777" w:rsidR="00522863" w:rsidRDefault="00522863">
      <w:pPr>
        <w:spacing w:after="0" w:line="240" w:lineRule="auto"/>
      </w:pPr>
      <w:r>
        <w:separator/>
      </w:r>
    </w:p>
  </w:footnote>
  <w:footnote w:type="continuationSeparator" w:id="0">
    <w:p w14:paraId="53CE97DB" w14:textId="77777777" w:rsidR="00522863" w:rsidRDefault="005228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91437032">
    <w:abstractNumId w:val="8"/>
  </w:num>
  <w:num w:numId="2" w16cid:durableId="705954605">
    <w:abstractNumId w:val="6"/>
  </w:num>
  <w:num w:numId="3" w16cid:durableId="1136292782">
    <w:abstractNumId w:val="5"/>
  </w:num>
  <w:num w:numId="4" w16cid:durableId="1038310577">
    <w:abstractNumId w:val="4"/>
  </w:num>
  <w:num w:numId="5" w16cid:durableId="1283996085">
    <w:abstractNumId w:val="7"/>
  </w:num>
  <w:num w:numId="6" w16cid:durableId="1034967505">
    <w:abstractNumId w:val="3"/>
  </w:num>
  <w:num w:numId="7" w16cid:durableId="437911756">
    <w:abstractNumId w:val="2"/>
  </w:num>
  <w:num w:numId="8" w16cid:durableId="107626012">
    <w:abstractNumId w:val="1"/>
  </w:num>
  <w:num w:numId="9" w16cid:durableId="325326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77C"/>
    <w:rsid w:val="0040798A"/>
    <w:rsid w:val="00522863"/>
    <w:rsid w:val="007016A7"/>
    <w:rsid w:val="00933FB4"/>
    <w:rsid w:val="009649DF"/>
    <w:rsid w:val="00AA1D8D"/>
    <w:rsid w:val="00AB11AD"/>
    <w:rsid w:val="00B47730"/>
    <w:rsid w:val="00B551D6"/>
    <w:rsid w:val="00B970A7"/>
    <w:rsid w:val="00BC0FE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CFEA51"/>
  <w14:defaultImageDpi w14:val="300"/>
  <w15:docId w15:val="{C960A520-2A65-48BF-82FE-A20CEE9BA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19" w:lineRule="auto"/>
    </w:pPr>
    <w:rPr>
      <w:rFonts w:ascii="Calibri" w:hAnsi="Calibri"/>
      <w:color w:val="243447"/>
    </w:rPr>
  </w:style>
  <w:style w:type="paragraph" w:styleId="1">
    <w:name w:val="heading 1"/>
    <w:basedOn w:val="a1"/>
    <w:next w:val="a1"/>
    <w:link w:val="10"/>
    <w:uiPriority w:val="9"/>
    <w:qFormat/>
    <w:rsid w:val="00FC693F"/>
    <w:pPr>
      <w:keepNext/>
      <w:keepLines/>
      <w:spacing w:before="320"/>
      <w:outlineLvl w:val="0"/>
    </w:pPr>
    <w:rPr>
      <w:rFonts w:asciiTheme="majorHAnsi" w:eastAsiaTheme="majorEastAsia" w:hAnsiTheme="majorHAnsi" w:cstheme="majorBidi"/>
      <w:b/>
      <w:bCs/>
      <w:color w:val="2E5D7B"/>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E5D7B"/>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color w:val="2E5D7B"/>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line="288" w:lineRule="auto"/>
      <w:ind w:left="547" w:hanging="259"/>
      <w:contextualSpacing/>
    </w:pPr>
    <w:rPr>
      <w:sz w:val="21"/>
    </w:r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line="288" w:lineRule="auto"/>
      <w:ind w:left="547" w:hanging="259"/>
      <w:contextualSpacing/>
    </w:pPr>
    <w:rPr>
      <w:sz w:val="21"/>
    </w:r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390</TotalTime>
  <Pages>1</Pages>
  <Words>2938</Words>
  <Characters>16753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Sequentially Assembled Dual-SAM Contacts for Efficient and Stable Inverted Perovskite Solar Cells</dc:title>
  <dc:subject>Full manuscript template</dc:subject>
  <dc:creator/>
  <cp:keywords>DoubleSAM; manuscript template; perovskite solar cells</cp:keywords>
  <dc:description>generated by python-docx</dc:description>
  <cp:lastModifiedBy>bruise ql</cp:lastModifiedBy>
  <cp:revision>5</cp:revision>
  <dcterms:created xsi:type="dcterms:W3CDTF">2013-12-23T23:15:00Z</dcterms:created>
  <dcterms:modified xsi:type="dcterms:W3CDTF">2026-08-12T08:46:00Z</dcterms:modified>
  <cp:category/>
</cp:coreProperties>
</file>