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84920" w14:textId="77777777" w:rsidR="00FD6C4D" w:rsidRDefault="00000000">
      <w:pPr>
        <w:spacing w:after="100"/>
        <w:jc w:val="left"/>
      </w:pPr>
      <w:r>
        <w:rPr>
          <w:rFonts w:ascii="Arial" w:hAnsi="Arial"/>
          <w:b/>
          <w:color w:val="132F4C"/>
          <w:sz w:val="40"/>
        </w:rPr>
        <w:t>Sequential Deposition of Complementary Self-Assembled Monolayers Enables a High-Quality Buried Interface for Efficient Inverted Perovskite Solar Cells</w:t>
      </w:r>
    </w:p>
    <w:p w14:paraId="447A2631" w14:textId="77777777" w:rsidR="00FD6C4D" w:rsidRDefault="00000000">
      <w:pPr>
        <w:pStyle w:val="AuthorNote"/>
      </w:pPr>
      <w:r>
        <w:t xml:space="preserve">Submission-ready language template. Replace all </w:t>
      </w:r>
      <w:r>
        <w:rPr>
          <w:b/>
          <w:color w:val="0056B3"/>
        </w:rPr>
        <w:t>[BLUE BRACKETED ITEMS]</w:t>
      </w:r>
      <w:r>
        <w:t xml:space="preserve"> with experimental information and update citation numbering through the target journal's reference manager.</w:t>
      </w:r>
    </w:p>
    <w:p w14:paraId="1D181047" w14:textId="77777777" w:rsidR="00FD6C4D" w:rsidRDefault="00000000">
      <w:pPr>
        <w:pStyle w:val="1"/>
      </w:pPr>
      <w:r>
        <w:t>1. Introduction</w:t>
      </w:r>
    </w:p>
    <w:p w14:paraId="3F352B8A" w14:textId="77777777" w:rsidR="00FD6C4D" w:rsidRDefault="00000000">
      <w:r>
        <w:t>Inverted perovskite solar cells (PSCs) have emerged as a compelling photovoltaic platform because of their low-temperature processability, negligible current-voltage hysteresis, compatibility with flexible substrates, and suitability for monolithic tandem architectures [1-4]. Continued advances in perovskite crystallization, defect management, and selective-contact design have rapidly narrowed the efficiency gap between inverted and conventional device configurations [5-8]. In particular, self-assembled monolayers (SAMs) have become attractive hole-selective contacts owing to their molecular-scale thickness, low parasitic absorption, synthetically tunable dipole moments, and capacity to establish direct electronic coupling between transparent conducting oxides and the perovskite absorber [9-12]. A typical phosphonic-acid-based SAM integrates an anchoring group for substrate binding, a spacer that regulates molecular packing, and a terminal functional group that controls surface energetics and interfacial interactions. These modular characteristics make SAMs especially well suited for simultaneously regulating charge extraction and buried-interface chemistry.</w:t>
      </w:r>
    </w:p>
    <w:p w14:paraId="75D42C5D" w14:textId="77777777" w:rsidR="00FD6C4D" w:rsidRDefault="00000000">
      <w:r>
        <w:t>Despite these advantages, a single-component SAM rarely forms an ideal, defect-free monolayer under practical processing conditions. Molecular aggregation, steric constraints, nonuniform adsorption, and the intrinsic roughness or chemical heterogeneity of the conductive substrate can produce uncovered regions and locally disordered domains [13-16]. Such discontinuities permit direct contact between the perovskite and the electrode, create spatially heterogeneous surface potentials, and introduce interfacial pathways for nonradiative recombination and current leakage. Moreover, the exposed terminal groups of a conventional SAM do not necessarily provide optimal wettability or sufficiently strong interactions with the perovskite precursor and the subsequently formed lattice. Consequently, incomplete substrate coverage, unfavorable energy-level alignment, uncontrolled nucleation, and residual defects at the buried interface can act cooperatively to limit the open-circuit voltage (V</w:t>
      </w:r>
      <w:r>
        <w:rPr>
          <w:i/>
        </w:rPr>
        <w:t>OC</w:t>
      </w:r>
      <w:r>
        <w:t>), fill factor (FF), and operational stability of inverted PSCs.</w:t>
      </w:r>
    </w:p>
    <w:p w14:paraId="67B6E6D1" w14:textId="77777777" w:rsidR="00FD6C4D" w:rsidRDefault="00000000">
      <w:r>
        <w:t>Several multicomponent approaches have therefore been developed to compensate for the intrinsic limitations of single SAMs, including molecular additives, co-adsorbents, and mixed-SAM formulations [17-21]. These strategies can improve surface coverage or introduce additional passivating functionality; however, simultaneous deposition often entails competitive adsorption between components with different binding affinities, molecular footprints, and assembly kinetics. As a result, the component intended to passivate residual vacancies may instead perturb the anchoring and packing of the primary hole-selective molecule, while compositional fluctuations can generate an electronically heterogeneous interface. A sequential process offers a distinct means of controlling this competition: the first molecule is allowed to establish the primary interfacial framework, after which a complementary molecule is introduced to occupy residual adsorption sites and tailor the outer surface. The order of deposition is therefore not merely a processing variable, but a determinant of molecular organization, interfacial energetics, and the chemical environment encountered by the perovskite precursor.</w:t>
      </w:r>
    </w:p>
    <w:p w14:paraId="6EC1C3A7" w14:textId="77777777" w:rsidR="00FD6C4D" w:rsidRDefault="00000000">
      <w:r>
        <w:lastRenderedPageBreak/>
        <w:t xml:space="preserve">Recent studies have demonstrated the potential of post-assembled and bilayer SAM architectures. Post-deposition of a compact phosphonic-acid molecule can fill voids within a carbazole-based SAM while preserving robust substrate anchoring, whereas sequential deposition of two electronically complementary SAMs can combine vacancy compensation with stepped energy-level alignment and stronger interactions with the perovskite lattice [22,23]. These reports establish a useful design principle: the first component should provide stable substrate attachment and efficient hole selectivity, while the second should complement the unoccupied surface sites and regulate the SAM/perovskite interface. Nevertheless, a systematic understanding of why the </w:t>
      </w:r>
      <w:r>
        <w:rPr>
          <w:b/>
          <w:color w:val="0056B3"/>
        </w:rPr>
        <w:t>[SAM-A]-then-[SAM-B]</w:t>
      </w:r>
      <w:r>
        <w:t xml:space="preserve"> sequence outperforms the reverse order, the individual monolayers, and the co-deposited analogue remains incomplete. In particular, direct correlations among sequential assembly, surface coverage and potential uniformity, precursor wettability, perovskite crystallization, buried-interface defect density, and device-level charge losses require further clarification.</w:t>
      </w:r>
    </w:p>
    <w:p w14:paraId="1A7BD4CE" w14:textId="77777777" w:rsidR="00FD6C4D" w:rsidRDefault="00000000">
      <w:r>
        <w:t xml:space="preserve">Here, we report an order-dependent bilayer SAM strategy in which </w:t>
      </w:r>
      <w:r>
        <w:rPr>
          <w:b/>
          <w:color w:val="0056B3"/>
        </w:rPr>
        <w:t>[FULL NAME OF SAM-A] ([SAM-A])</w:t>
      </w:r>
      <w:r>
        <w:t xml:space="preserve"> is first deposited on </w:t>
      </w:r>
      <w:r>
        <w:rPr>
          <w:b/>
          <w:color w:val="0056B3"/>
        </w:rPr>
        <w:t>[ITO/FTO/NiOx OR OTHER SUBSTRATE]</w:t>
      </w:r>
      <w:r>
        <w:t xml:space="preserve">, followed by </w:t>
      </w:r>
      <w:r>
        <w:rPr>
          <w:b/>
          <w:color w:val="0056B3"/>
        </w:rPr>
        <w:t>[FULL NAME OF SAM-B] ([SAM-B])</w:t>
      </w:r>
      <w:r>
        <w:t xml:space="preserve">. The resulting </w:t>
      </w:r>
      <w:r>
        <w:rPr>
          <w:b/>
          <w:color w:val="0056B3"/>
        </w:rPr>
        <w:t>[SAM-A/SAM-B ABBREVIATION]</w:t>
      </w:r>
      <w:r>
        <w:t xml:space="preserve"> interface exhibits </w:t>
      </w:r>
      <w:r>
        <w:rPr>
          <w:b/>
          <w:color w:val="0056B3"/>
        </w:rPr>
        <w:t>[IMPROVED COVERAGE / MORE UNIFORM SURFACE POTENTIAL / FAVORABLE WETTABILITY]</w:t>
      </w:r>
      <w:r>
        <w:t xml:space="preserve">, thereby providing a chemically and energetically favorable foundation for perovskite growth. Combined </w:t>
      </w:r>
      <w:r>
        <w:rPr>
          <w:b/>
          <w:color w:val="0056B3"/>
        </w:rPr>
        <w:t>[XPS/FTIR/NMR/DFT/KPFM/PiFM]</w:t>
      </w:r>
      <w:r>
        <w:t xml:space="preserve"> analyses reveal that the sequential architecture </w:t>
      </w:r>
      <w:r>
        <w:rPr>
          <w:b/>
          <w:color w:val="0056B3"/>
        </w:rPr>
        <w:t>[FILLS ADSORPTION VACANCIES / OPTIMIZES ENERGY-LEVEL ALIGNMENT / PASSIVATES UNDERCOORDINATED IONS]</w:t>
      </w:r>
      <w:r>
        <w:t xml:space="preserve">, while morphological and structural characterizations demonstrate </w:t>
      </w:r>
      <w:r>
        <w:rPr>
          <w:b/>
          <w:color w:val="0056B3"/>
        </w:rPr>
        <w:t>[LARGER GRAINS / LOWER ROUGHNESS / PREFERRED ORIENTATION / REDUCED RESIDUAL STRAIN]</w:t>
      </w:r>
      <w:r>
        <w:t xml:space="preserve"> in the overlying perovskite. Importantly, neither reversing the deposition order nor co-depositing the two molecules reproduces these synergistic effects, underscoring the central role of sequence-controlled assembly. Consequently, the optimized devices achieve a power conversion efficiency (PCE) of </w:t>
      </w:r>
      <w:r>
        <w:rPr>
          <w:b/>
          <w:color w:val="0056B3"/>
        </w:rPr>
        <w:t>[XX.XX]%</w:t>
      </w:r>
      <w:r>
        <w:t>, with a V</w:t>
      </w:r>
      <w:r>
        <w:rPr>
          <w:i/>
        </w:rPr>
        <w:t>OC</w:t>
      </w:r>
      <w:r>
        <w:t xml:space="preserve"> of </w:t>
      </w:r>
      <w:r>
        <w:rPr>
          <w:b/>
          <w:color w:val="0056B3"/>
        </w:rPr>
        <w:t>[X.XX] V</w:t>
      </w:r>
      <w:r>
        <w:t>, a short-circuit current density (J</w:t>
      </w:r>
      <w:r>
        <w:rPr>
          <w:i/>
        </w:rPr>
        <w:t>SC</w:t>
      </w:r>
      <w:r>
        <w:t xml:space="preserve">) of </w:t>
      </w:r>
      <w:r>
        <w:rPr>
          <w:b/>
          <w:color w:val="0056B3"/>
        </w:rPr>
        <w:t>[XX.XX] mA cm-2</w:t>
      </w:r>
      <w:r>
        <w:t xml:space="preserve">, and an FF of </w:t>
      </w:r>
      <w:r>
        <w:rPr>
          <w:b/>
          <w:color w:val="0056B3"/>
        </w:rPr>
        <w:t>[XX.XX]%</w:t>
      </w:r>
      <w:r>
        <w:t xml:space="preserve">, together with enhanced </w:t>
      </w:r>
      <w:r>
        <w:rPr>
          <w:b/>
          <w:color w:val="0056B3"/>
        </w:rPr>
        <w:t>[OPERATIONAL/STORAGE/THERMAL]</w:t>
      </w:r>
      <w:r>
        <w:t xml:space="preserve"> stability. This work identifies sequential deposition as a general molecular-assembly principle for integrating complementary SAM functions and constructing high-quality buried interfaces in inverted PSCs.</w:t>
      </w:r>
    </w:p>
    <w:p w14:paraId="1B9FB57C" w14:textId="77777777" w:rsidR="00FD6C4D" w:rsidRDefault="00000000">
      <w:pPr>
        <w:pStyle w:val="1"/>
      </w:pPr>
      <w:r>
        <w:t>2. Results and Discussion</w:t>
      </w:r>
    </w:p>
    <w:p w14:paraId="590216EF" w14:textId="77777777" w:rsidR="00FD6C4D" w:rsidRDefault="00000000">
      <w:pPr>
        <w:pStyle w:val="21"/>
      </w:pPr>
      <w:r>
        <w:t>2.1. Construction and Initial Validation of the Sequential Bilayer SAM</w:t>
      </w:r>
    </w:p>
    <w:p w14:paraId="4036B434" w14:textId="77777777" w:rsidR="00FD6C4D" w:rsidRDefault="00000000">
      <w:r>
        <w:t xml:space="preserve">The sequential bilayer was fabricated by first depositing </w:t>
      </w:r>
      <w:r>
        <w:rPr>
          <w:b/>
          <w:color w:val="0056B3"/>
        </w:rPr>
        <w:t>[SAM-A]</w:t>
      </w:r>
      <w:r>
        <w:t xml:space="preserve"> onto the </w:t>
      </w:r>
      <w:r>
        <w:rPr>
          <w:b/>
          <w:color w:val="0056B3"/>
        </w:rPr>
        <w:t>[SUBSTRATE]</w:t>
      </w:r>
      <w:r>
        <w:t xml:space="preserve"> surface, followed by </w:t>
      </w:r>
      <w:r>
        <w:rPr>
          <w:b/>
          <w:color w:val="0056B3"/>
        </w:rPr>
        <w:t>[RINSING/ANNEALING CONDITION, IF APPLICABLE]</w:t>
      </w:r>
      <w:r>
        <w:t xml:space="preserve"> and subsequent deposition of </w:t>
      </w:r>
      <w:r>
        <w:rPr>
          <w:b/>
          <w:color w:val="0056B3"/>
        </w:rPr>
        <w:t>[SAM-B]</w:t>
      </w:r>
      <w:r>
        <w:t xml:space="preserve"> (Figure </w:t>
      </w:r>
      <w:r>
        <w:rPr>
          <w:b/>
          <w:color w:val="0056B3"/>
        </w:rPr>
        <w:t>[1a/S1]</w:t>
      </w:r>
      <w:r>
        <w:t xml:space="preserve">). This processing sequence was designed to allow </w:t>
      </w:r>
      <w:r>
        <w:rPr>
          <w:b/>
          <w:color w:val="0056B3"/>
        </w:rPr>
        <w:t>[SAM-A]</w:t>
      </w:r>
      <w:r>
        <w:t xml:space="preserve"> to establish the primary hole-selective framework while enabling </w:t>
      </w:r>
      <w:r>
        <w:rPr>
          <w:b/>
          <w:color w:val="0056B3"/>
        </w:rPr>
        <w:t>[SAM-B]</w:t>
      </w:r>
      <w:r>
        <w:t xml:space="preserve"> to occupy residual adsorption sites and regulate the surface presented to the perovskite precursor. To distinguish an intrinsic order effect from a simple compositional effect, four control interfaces were prepared under otherwise identical conditions: single-component </w:t>
      </w:r>
      <w:r>
        <w:rPr>
          <w:b/>
          <w:color w:val="0056B3"/>
        </w:rPr>
        <w:t>[SAM-A]</w:t>
      </w:r>
      <w:r>
        <w:t xml:space="preserve">, single-component </w:t>
      </w:r>
      <w:r>
        <w:rPr>
          <w:b/>
          <w:color w:val="0056B3"/>
        </w:rPr>
        <w:t>[SAM-B]</w:t>
      </w:r>
      <w:r>
        <w:t xml:space="preserve">, a co-deposited </w:t>
      </w:r>
      <w:r>
        <w:rPr>
          <w:b/>
          <w:color w:val="0056B3"/>
        </w:rPr>
        <w:t>[SAM-A:SAM-B RATIO]</w:t>
      </w:r>
      <w:r>
        <w:t xml:space="preserve"> mixture, and the reverse </w:t>
      </w:r>
      <w:r>
        <w:rPr>
          <w:b/>
          <w:color w:val="0056B3"/>
        </w:rPr>
        <w:t>[SAM-B]-then-[SAM-A]</w:t>
      </w:r>
      <w:r>
        <w:t xml:space="preserve"> bilayer. </w:t>
      </w:r>
      <w:r>
        <w:rPr>
          <w:b/>
          <w:color w:val="0056B3"/>
        </w:rPr>
        <w:t>[</w:t>
      </w:r>
      <w:r w:rsidRPr="004969B0">
        <w:rPr>
          <w:b/>
          <w:color w:val="EE0000"/>
        </w:rPr>
        <w:t>CONTACT-ANGLE TECHNIQUE</w:t>
      </w:r>
      <w:r>
        <w:rPr>
          <w:b/>
          <w:color w:val="0056B3"/>
        </w:rPr>
        <w:t>]</w:t>
      </w:r>
      <w:r>
        <w:t xml:space="preserve"> measurements showed that the sequential </w:t>
      </w:r>
      <w:r>
        <w:rPr>
          <w:b/>
          <w:color w:val="0056B3"/>
        </w:rPr>
        <w:t>[SAM-A/SAM-B]</w:t>
      </w:r>
      <w:r>
        <w:t xml:space="preserve"> surface exhibited a contact angle of </w:t>
      </w:r>
      <w:r>
        <w:rPr>
          <w:b/>
          <w:color w:val="0056B3"/>
        </w:rPr>
        <w:t>[XX.X] degrees</w:t>
      </w:r>
      <w:r>
        <w:t xml:space="preserve">, compared with </w:t>
      </w:r>
      <w:r>
        <w:rPr>
          <w:b/>
          <w:color w:val="0056B3"/>
        </w:rPr>
        <w:t>[XX.X] degrees</w:t>
      </w:r>
      <w:r>
        <w:t xml:space="preserve"> for </w:t>
      </w:r>
      <w:r>
        <w:rPr>
          <w:b/>
          <w:color w:val="0056B3"/>
        </w:rPr>
        <w:t>[SAM-A]</w:t>
      </w:r>
      <w:r>
        <w:t xml:space="preserve">, </w:t>
      </w:r>
      <w:r>
        <w:rPr>
          <w:b/>
          <w:color w:val="0056B3"/>
        </w:rPr>
        <w:t>[XX.X] degrees</w:t>
      </w:r>
      <w:r>
        <w:t xml:space="preserve"> for </w:t>
      </w:r>
      <w:r>
        <w:rPr>
          <w:b/>
          <w:color w:val="0056B3"/>
        </w:rPr>
        <w:t>[SAM-B]</w:t>
      </w:r>
      <w:r>
        <w:t xml:space="preserve">, </w:t>
      </w:r>
      <w:r>
        <w:rPr>
          <w:b/>
          <w:color w:val="0056B3"/>
        </w:rPr>
        <w:t>[XX.X] degrees</w:t>
      </w:r>
      <w:r>
        <w:t xml:space="preserve"> for the co-deposited layer, and </w:t>
      </w:r>
      <w:r>
        <w:rPr>
          <w:b/>
          <w:color w:val="0056B3"/>
        </w:rPr>
        <w:t>[XX.X] degrees</w:t>
      </w:r>
      <w:r>
        <w:t xml:space="preserve"> for the reverse bilayer (Figure </w:t>
      </w:r>
      <w:r>
        <w:rPr>
          <w:b/>
          <w:color w:val="0056B3"/>
        </w:rPr>
        <w:t>[1b/SX]</w:t>
      </w:r>
      <w:r>
        <w:t xml:space="preserve">). The </w:t>
      </w:r>
      <w:r>
        <w:rPr>
          <w:b/>
          <w:color w:val="0056B3"/>
        </w:rPr>
        <w:t>[LOWER/HIGHER]</w:t>
      </w:r>
      <w:r>
        <w:t xml:space="preserve"> contact angle indicates </w:t>
      </w:r>
      <w:r>
        <w:rPr>
          <w:b/>
          <w:color w:val="0056B3"/>
        </w:rPr>
        <w:t>[ENHANCED PRECURSOR WETTABILITY / INCREASED SURFACE HYDROPHOBICITY]</w:t>
      </w:r>
      <w:r>
        <w:t xml:space="preserve">, which is expected to influence nucleation and subsequent crystal growth. Consistently, </w:t>
      </w:r>
      <w:r w:rsidRPr="004969B0">
        <w:rPr>
          <w:b/>
          <w:color w:val="EE0000"/>
        </w:rPr>
        <w:t>[KPFM/PiFM/AFM/SEM-EDS/XPS</w:t>
      </w:r>
      <w:r>
        <w:rPr>
          <w:b/>
          <w:color w:val="0056B3"/>
        </w:rPr>
        <w:t>]</w:t>
      </w:r>
      <w:r>
        <w:t xml:space="preserve"> revealed a </w:t>
      </w:r>
      <w:r>
        <w:rPr>
          <w:b/>
          <w:color w:val="0056B3"/>
        </w:rPr>
        <w:t>[NARROWER POTENTIAL DISTRIBUTION / STRONGER AND MORE UNIFORM MOLECULAR SIGNAL / HIGHER PHOSPHORUS CONTENT]</w:t>
      </w:r>
      <w:r>
        <w:t xml:space="preserve"> for the sequential bilayer, confirming </w:t>
      </w:r>
      <w:r>
        <w:lastRenderedPageBreak/>
        <w:t xml:space="preserve">that the second deposition step produces a more complete and spatially homogeneous interface rather than merely increasing the total molecular loading. These results establish that the superior interfacial properties arise from the controlled </w:t>
      </w:r>
      <w:r>
        <w:rPr>
          <w:b/>
          <w:color w:val="0056B3"/>
        </w:rPr>
        <w:t>[SAM-A]-then-[SAM-B]</w:t>
      </w:r>
      <w:r>
        <w:t xml:space="preserve"> assembly sequence.</w:t>
      </w:r>
    </w:p>
    <w:p w14:paraId="0DABFF84" w14:textId="77777777" w:rsidR="00FD6C4D" w:rsidRDefault="00000000">
      <w:pPr>
        <w:pStyle w:val="AuthorNote"/>
      </w:pPr>
      <w:r>
        <w:t>Optional continuation for the same subsection (retain only if supported by your data):</w:t>
      </w:r>
    </w:p>
    <w:p w14:paraId="1A762F84" w14:textId="77777777" w:rsidR="00FD6C4D" w:rsidRDefault="00000000">
      <w:r>
        <w:t xml:space="preserve">The chemical origin of the improved interface was further examined by </w:t>
      </w:r>
      <w:r>
        <w:rPr>
          <w:b/>
          <w:color w:val="0056B3"/>
        </w:rPr>
        <w:t>[</w:t>
      </w:r>
      <w:r w:rsidRPr="004969B0">
        <w:rPr>
          <w:b/>
          <w:color w:val="EE0000"/>
        </w:rPr>
        <w:t>XPS/FTIR/NMR/DFT</w:t>
      </w:r>
      <w:r>
        <w:rPr>
          <w:b/>
          <w:color w:val="0056B3"/>
        </w:rPr>
        <w:t>]</w:t>
      </w:r>
      <w:r>
        <w:t xml:space="preserve">. Relative to the control, the </w:t>
      </w:r>
      <w:r>
        <w:rPr>
          <w:b/>
          <w:color w:val="0056B3"/>
        </w:rPr>
        <w:t>[CORE-LEVEL/VIBRATIONAL/NMR]</w:t>
      </w:r>
      <w:r>
        <w:t xml:space="preserve"> feature shifted from </w:t>
      </w:r>
      <w:r>
        <w:rPr>
          <w:b/>
          <w:color w:val="0056B3"/>
        </w:rPr>
        <w:t>[VALUE AND UNIT]</w:t>
      </w:r>
      <w:r>
        <w:t xml:space="preserve"> to </w:t>
      </w:r>
      <w:r>
        <w:rPr>
          <w:b/>
          <w:color w:val="0056B3"/>
        </w:rPr>
        <w:t>[VALUE AND UNIT]</w:t>
      </w:r>
      <w:r>
        <w:t xml:space="preserve">, indicating </w:t>
      </w:r>
      <w:r>
        <w:rPr>
          <w:b/>
          <w:color w:val="0056B3"/>
        </w:rPr>
        <w:t>[CHARGE REDISTRIBUTION / COORDINATION / HYDROGEN OR HALOGEN BONDING]</w:t>
      </w:r>
      <w:r>
        <w:t xml:space="preserve"> between </w:t>
      </w:r>
      <w:r>
        <w:rPr>
          <w:b/>
          <w:color w:val="0056B3"/>
        </w:rPr>
        <w:t>[FUNCTIONAL GROUP OF SAM-B]</w:t>
      </w:r>
      <w:r>
        <w:t xml:space="preserve"> and </w:t>
      </w:r>
      <w:r>
        <w:rPr>
          <w:b/>
          <w:color w:val="0056B3"/>
        </w:rPr>
        <w:t>[UNDERCOORDINATED SPECIES OR PRECURSOR COMPONENT]</w:t>
      </w:r>
      <w:r>
        <w:t xml:space="preserve">. The calculated adsorption energy of </w:t>
      </w:r>
      <w:r>
        <w:rPr>
          <w:b/>
          <w:color w:val="0056B3"/>
        </w:rPr>
        <w:t>[SAM-B]</w:t>
      </w:r>
      <w:r>
        <w:t xml:space="preserve"> on </w:t>
      </w:r>
      <w:r>
        <w:rPr>
          <w:b/>
          <w:color w:val="0056B3"/>
        </w:rPr>
        <w:t>[SUBSTRATE/PEROVSKITE CRYSTAL PLANE]</w:t>
      </w:r>
      <w:r>
        <w:t xml:space="preserve"> was </w:t>
      </w:r>
      <w:r>
        <w:rPr>
          <w:b/>
          <w:color w:val="0056B3"/>
        </w:rPr>
        <w:t>[X.XX] eV</w:t>
      </w:r>
      <w:r>
        <w:t xml:space="preserve">, compared with </w:t>
      </w:r>
      <w:r>
        <w:rPr>
          <w:b/>
          <w:color w:val="0056B3"/>
        </w:rPr>
        <w:t>[X.XX] eV</w:t>
      </w:r>
      <w:r>
        <w:t xml:space="preserve"> for </w:t>
      </w:r>
      <w:r>
        <w:rPr>
          <w:b/>
          <w:color w:val="0056B3"/>
        </w:rPr>
        <w:t>[REFERENCE MOLECULE]</w:t>
      </w:r>
      <w:r>
        <w:t>. This stronger interaction supports the proposed role of the second SAM in stabilizing the buried interface and provides a molecular basis for the subsequent changes in perovskite crystallization and charge-carrier dynamics.</w:t>
      </w:r>
    </w:p>
    <w:p w14:paraId="43099626" w14:textId="77777777" w:rsidR="00FD6C4D" w:rsidRDefault="00000000">
      <w:pPr>
        <w:pStyle w:val="1"/>
      </w:pPr>
      <w:r>
        <w:t>Replacement Checklist</w:t>
      </w:r>
    </w:p>
    <w:p w14:paraId="61D1F64F" w14:textId="77777777" w:rsidR="00FD6C4D" w:rsidRDefault="00000000">
      <w:pPr>
        <w:pStyle w:val="AuthorNote"/>
        <w:spacing w:after="60"/>
        <w:ind w:left="216" w:hanging="216"/>
      </w:pPr>
      <w:r>
        <w:rPr>
          <w:b/>
          <w:color w:val="17365D"/>
        </w:rPr>
        <w:t xml:space="preserve">Identity: </w:t>
      </w:r>
      <w:r>
        <w:t>Full names and abbreviations of SAM-A and SAM-B; substrate and perovskite composition.</w:t>
      </w:r>
    </w:p>
    <w:p w14:paraId="4EE331FB" w14:textId="77777777" w:rsidR="00FD6C4D" w:rsidRDefault="00000000">
      <w:pPr>
        <w:pStyle w:val="AuthorNote"/>
        <w:spacing w:after="60"/>
        <w:ind w:left="216" w:hanging="216"/>
      </w:pPr>
      <w:r>
        <w:rPr>
          <w:b/>
          <w:color w:val="17365D"/>
        </w:rPr>
        <w:t xml:space="preserve">Process: </w:t>
      </w:r>
      <w:r>
        <w:t>Concentration, solvent, spin-coating, rinsing, annealing, and deposition order.</w:t>
      </w:r>
    </w:p>
    <w:p w14:paraId="7D0138A1" w14:textId="77777777" w:rsidR="00FD6C4D" w:rsidRDefault="00000000">
      <w:pPr>
        <w:pStyle w:val="AuthorNote"/>
        <w:spacing w:after="60"/>
        <w:ind w:left="216" w:hanging="216"/>
      </w:pPr>
      <w:r>
        <w:rPr>
          <w:b/>
          <w:color w:val="17365D"/>
        </w:rPr>
        <w:t xml:space="preserve">Controls: </w:t>
      </w:r>
      <w:r>
        <w:t>Both monolayers, reverse-order bilayer, and co-deposited mixture with its molar or mass ratio.</w:t>
      </w:r>
    </w:p>
    <w:p w14:paraId="32E67F83" w14:textId="77777777" w:rsidR="00FD6C4D" w:rsidRDefault="00000000">
      <w:pPr>
        <w:pStyle w:val="AuthorNote"/>
        <w:spacing w:after="60"/>
        <w:ind w:left="216" w:hanging="216"/>
      </w:pPr>
      <w:r>
        <w:rPr>
          <w:b/>
          <w:color w:val="17365D"/>
        </w:rPr>
        <w:t xml:space="preserve">Surface evidence: </w:t>
      </w:r>
      <w:r>
        <w:t>Contact angles and the selected coverage/uniformity result from KPFM, PiFM, AFM, SEM-EDS, or XPS.</w:t>
      </w:r>
    </w:p>
    <w:p w14:paraId="4FB6845A" w14:textId="77777777" w:rsidR="00FD6C4D" w:rsidRDefault="00000000">
      <w:pPr>
        <w:pStyle w:val="AuthorNote"/>
        <w:spacing w:after="60"/>
        <w:ind w:left="216" w:hanging="216"/>
      </w:pPr>
      <w:r>
        <w:rPr>
          <w:b/>
          <w:color w:val="17365D"/>
        </w:rPr>
        <w:t xml:space="preserve">Interaction evidence: </w:t>
      </w:r>
      <w:r>
        <w:t>Binding-energy, vibrational, chemical-shift, or adsorption-energy values and the associated chemical interpretation.</w:t>
      </w:r>
    </w:p>
    <w:p w14:paraId="280060A4" w14:textId="77777777" w:rsidR="00FD6C4D" w:rsidRDefault="00000000">
      <w:pPr>
        <w:pStyle w:val="AuthorNote"/>
        <w:spacing w:after="60"/>
        <w:ind w:left="216" w:hanging="216"/>
      </w:pPr>
      <w:r>
        <w:rPr>
          <w:b/>
          <w:color w:val="17365D"/>
        </w:rPr>
        <w:t xml:space="preserve">Film evidence: </w:t>
      </w:r>
      <w:r>
        <w:t>SEM grain size, AFM roughness, XRD peak intensity/FWHM, GIWAXS strain, PL/TRPL, and defect-density results, as available.</w:t>
      </w:r>
    </w:p>
    <w:p w14:paraId="3188354B" w14:textId="77777777" w:rsidR="00FD6C4D" w:rsidRDefault="00000000">
      <w:pPr>
        <w:pStyle w:val="AuthorNote"/>
        <w:spacing w:after="60"/>
        <w:ind w:left="216" w:hanging="216"/>
      </w:pPr>
      <w:r>
        <w:rPr>
          <w:b/>
          <w:color w:val="17365D"/>
        </w:rPr>
        <w:t xml:space="preserve">Device outcome: </w:t>
      </w:r>
      <w:r>
        <w:t>PCE, VOC, JSC, FF, stabilized output, statistics, and stability protocol/retention.</w:t>
      </w:r>
    </w:p>
    <w:p w14:paraId="51713D2F" w14:textId="77777777" w:rsidR="00FD6C4D" w:rsidRDefault="00000000">
      <w:pPr>
        <w:pStyle w:val="AuthorNote"/>
        <w:spacing w:after="60"/>
        <w:ind w:left="216" w:hanging="216"/>
      </w:pPr>
      <w:r>
        <w:rPr>
          <w:b/>
          <w:color w:val="17365D"/>
        </w:rPr>
        <w:t xml:space="preserve">Citations: </w:t>
      </w:r>
      <w:r>
        <w:t>Replace bracketed reference numbers with entries from your reference manager and target-journal style.</w:t>
      </w:r>
    </w:p>
    <w:p w14:paraId="00452419" w14:textId="77777777" w:rsidR="00FD6C4D" w:rsidRDefault="00000000">
      <w:pPr>
        <w:pStyle w:val="AuthorNote"/>
      </w:pPr>
      <w:r>
        <w:t>Scientific wording note: retain causal terms such as 'demonstrates' or 'confirms' only when the corresponding experiment directly supports the claim. Otherwise use 'suggests', 'is consistent with', or 'may be attributed to'.</w:t>
      </w:r>
    </w:p>
    <w:sectPr w:rsidR="00FD6C4D" w:rsidSect="00034616">
      <w:headerReference w:type="default" r:id="rId8"/>
      <w:footerReference w:type="default" r:id="rId9"/>
      <w:pgSz w:w="12240" w:h="15840"/>
      <w:pgMar w:top="1224" w:right="1440" w:bottom="1152"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54D73" w14:textId="77777777" w:rsidR="006E7EE6" w:rsidRDefault="006E7EE6">
      <w:pPr>
        <w:spacing w:after="0" w:line="240" w:lineRule="auto"/>
      </w:pPr>
      <w:r>
        <w:separator/>
      </w:r>
    </w:p>
  </w:endnote>
  <w:endnote w:type="continuationSeparator" w:id="0">
    <w:p w14:paraId="22E56EDE" w14:textId="77777777" w:rsidR="006E7EE6" w:rsidRDefault="006E7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03F6" w14:textId="77777777" w:rsidR="00FD6C4D" w:rsidRDefault="00000000">
    <w:pPr>
      <w:pStyle w:val="a7"/>
      <w:jc w:val="right"/>
    </w:pPr>
    <w:r>
      <w:fldChar w:fldCharType="begin"/>
    </w:r>
    <w:r>
      <w:instrText xml:space="preserve"> PAGE </w:instrText>
    </w:r>
    <w:r w:rsidR="004969B0">
      <w:fldChar w:fldCharType="separate"/>
    </w:r>
    <w:r w:rsidR="004969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F2087" w14:textId="77777777" w:rsidR="006E7EE6" w:rsidRDefault="006E7EE6">
      <w:pPr>
        <w:spacing w:after="0" w:line="240" w:lineRule="auto"/>
      </w:pPr>
      <w:r>
        <w:separator/>
      </w:r>
    </w:p>
  </w:footnote>
  <w:footnote w:type="continuationSeparator" w:id="0">
    <w:p w14:paraId="5242C0C7" w14:textId="77777777" w:rsidR="006E7EE6" w:rsidRDefault="006E7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C8610" w14:textId="77777777" w:rsidR="00FD6C4D" w:rsidRDefault="00000000">
    <w:pPr>
      <w:pStyle w:val="AuthorNote"/>
      <w:jc w:val="right"/>
    </w:pPr>
    <w:r>
      <w:t xml:space="preserve">MANUSCRIPT </w:t>
    </w:r>
    <w:proofErr w:type="gramStart"/>
    <w:r>
      <w:t>DRAFT  |</w:t>
    </w:r>
    <w:proofErr w:type="gramEnd"/>
    <w:r>
      <w:t xml:space="preserve">  SEQUENTIAL BILAYER SAM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5231449">
    <w:abstractNumId w:val="8"/>
  </w:num>
  <w:num w:numId="2" w16cid:durableId="519972212">
    <w:abstractNumId w:val="6"/>
  </w:num>
  <w:num w:numId="3" w16cid:durableId="1154025921">
    <w:abstractNumId w:val="5"/>
  </w:num>
  <w:num w:numId="4" w16cid:durableId="886374800">
    <w:abstractNumId w:val="4"/>
  </w:num>
  <w:num w:numId="5" w16cid:durableId="707098361">
    <w:abstractNumId w:val="7"/>
  </w:num>
  <w:num w:numId="6" w16cid:durableId="1971592062">
    <w:abstractNumId w:val="3"/>
  </w:num>
  <w:num w:numId="7" w16cid:durableId="1721662336">
    <w:abstractNumId w:val="2"/>
  </w:num>
  <w:num w:numId="8" w16cid:durableId="996349121">
    <w:abstractNumId w:val="1"/>
  </w:num>
  <w:num w:numId="9" w16cid:durableId="998924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9B0"/>
    <w:rsid w:val="006E7EE6"/>
    <w:rsid w:val="00AA1D8D"/>
    <w:rsid w:val="00B47730"/>
    <w:rsid w:val="00CB0664"/>
    <w:rsid w:val="00EB75AE"/>
    <w:rsid w:val="00FB1ABB"/>
    <w:rsid w:val="00FC693F"/>
    <w:rsid w:val="00FD6C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D075FE"/>
  <w14:defaultImageDpi w14:val="300"/>
  <w15:docId w15:val="{CF53533B-A275-4180-A427-CCC0B5B8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jc w:val="both"/>
    </w:pPr>
    <w:rPr>
      <w:rFonts w:ascii="Times New Roman" w:eastAsia="Times New Roman" w:hAnsi="Times New Roman"/>
      <w:color w:val="1A1A1A"/>
      <w:sz w:val="21"/>
    </w:rPr>
  </w:style>
  <w:style w:type="paragraph" w:styleId="1">
    <w:name w:val="heading 1"/>
    <w:basedOn w:val="a1"/>
    <w:next w:val="a1"/>
    <w:link w:val="10"/>
    <w:uiPriority w:val="9"/>
    <w:qFormat/>
    <w:rsid w:val="00FC693F"/>
    <w:pPr>
      <w:keepNext/>
      <w:keepLines/>
      <w:spacing w:before="300" w:after="140"/>
      <w:outlineLvl w:val="0"/>
    </w:pPr>
    <w:rPr>
      <w:rFonts w:asciiTheme="majorHAnsi" w:eastAsiaTheme="majorEastAsia" w:hAnsiTheme="majorHAnsi" w:cstheme="majorBidi"/>
      <w:b/>
      <w:bCs/>
      <w:color w:val="17365D"/>
      <w:sz w:val="28"/>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b/>
      <w:bCs/>
      <w:color w:val="17365D"/>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rFonts w:ascii="Arial" w:hAnsi="Arial"/>
      <w:b/>
      <w:bCs/>
      <w:i/>
      <w:color w:val="4B5563"/>
      <w:sz w:val="17"/>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Note">
    <w:name w:val="Author Note"/>
    <w:pPr>
      <w:spacing w:after="80" w:line="259" w:lineRule="auto"/>
    </w:pPr>
    <w:rPr>
      <w:rFonts w:ascii="Arial" w:eastAsia="Arial" w:hAnsi="Arial"/>
      <w:color w:val="555F6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1295</Words>
  <Characters>8845</Characters>
  <Application>Microsoft Office Word</Application>
  <DocSecurity>0</DocSecurity>
  <Lines>116</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Sequential AB SAM - Introduction and First Results Section</dc:title>
  <dc:subject>Academic manuscript language template for sequentially deposited bilayer SAMs</dc:subject>
  <dc:creator/>
  <cp:keywords>perovskite solar cells; self-assembled monolayer; sequential deposition; buried interface</cp:keywords>
  <dc:description>generated by python-docx</dc:description>
  <cp:lastModifiedBy>cc c</cp:lastModifiedBy>
  <cp:revision>3</cp:revision>
  <dcterms:created xsi:type="dcterms:W3CDTF">2013-12-23T23:15:00Z</dcterms:created>
  <dcterms:modified xsi:type="dcterms:W3CDTF">2026-08-13T13:53:00Z</dcterms:modified>
  <cp:category/>
</cp:coreProperties>
</file>