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left"/>
      </w:pPr>
      <w:r>
        <w:rPr>
          <w:rFonts w:ascii="Arial" w:hAnsi="Arial"/>
          <w:b/>
          <w:color w:val="132F4C"/>
          <w:sz w:val="38"/>
        </w:rPr>
        <w:t>Optoelectronic Performance and Electrical Characterization of Sequentially Deposited A/B SAM Devices</w:t>
      </w:r>
    </w:p>
    <w:p>
      <w:pPr>
        <w:pStyle w:val="AuthorNote"/>
      </w:pPr>
      <w:r>
        <w:t xml:space="preserve">Insertion-ready manuscript section. Replace all </w:t>
      </w:r>
      <w:r>
        <w:rPr>
          <w:b/>
          <w:color w:val="0056B3"/>
        </w:rPr>
        <w:t>[BLUE BRACKETED ITEMS]</w:t>
      </w:r>
      <w:r>
        <w:t xml:space="preserve"> and retain only the characterization methods supported by your experiments.</w:t>
      </w:r>
    </w:p>
    <w:p>
      <w:pPr>
        <w:pStyle w:val="Heading1"/>
      </w:pPr>
      <w:r>
        <w:t>2.2. Photovoltaic Performance and Electrical Characteristics</w:t>
      </w:r>
    </w:p>
    <w:p>
      <w:r>
        <w:t xml:space="preserve">To evaluate the photovoltaic consequences of the order-controlled SAM assembly, inverted PSCs with a device architecture of </w:t>
      </w:r>
      <w:r>
        <w:rPr>
          <w:b/>
          <w:color w:val="0056B3"/>
        </w:rPr>
        <w:t>[SUBSTRATE/SAM/PEROVSKITE/ETL/BUFFER/METAL]</w:t>
      </w:r>
      <w:r>
        <w:t xml:space="preserve"> were fabricated using </w:t>
      </w:r>
      <w:r>
        <w:rPr>
          <w:b/>
          <w:color w:val="0056B3"/>
        </w:rPr>
        <w:t>[SAM-A]</w:t>
      </w:r>
      <w:r>
        <w:t xml:space="preserve">, </w:t>
      </w:r>
      <w:r>
        <w:rPr>
          <w:b/>
          <w:color w:val="0056B3"/>
        </w:rPr>
        <w:t>[SAM-B]</w:t>
      </w:r>
      <w:r>
        <w:t xml:space="preserve">, the co-deposited </w:t>
      </w:r>
      <w:r>
        <w:rPr>
          <w:b/>
          <w:color w:val="0056B3"/>
        </w:rPr>
        <w:t>[SAM-A:SAM-B RATIO]</w:t>
      </w:r>
      <w:r>
        <w:t xml:space="preserve"> layer, the reverse </w:t>
      </w:r>
      <w:r>
        <w:rPr>
          <w:b/>
          <w:color w:val="0056B3"/>
        </w:rPr>
        <w:t>[SAM-B]-then-[SAM-A]</w:t>
      </w:r>
      <w:r>
        <w:t xml:space="preserve"> bilayer, and the sequential </w:t>
      </w:r>
      <w:r>
        <w:rPr>
          <w:b/>
          <w:color w:val="0056B3"/>
        </w:rPr>
        <w:t>[SAM-A]-then-[SAM-B]</w:t>
      </w:r>
      <w:r>
        <w:t xml:space="preserve"> bilayer as the hole-selective contacts. The current density-voltage (</w:t>
      </w:r>
      <w:r>
        <w:rPr>
          <w:i/>
        </w:rPr>
        <w:t>J</w:t>
      </w:r>
      <w:r>
        <w:t>-</w:t>
      </w:r>
      <w:r>
        <w:rPr>
          <w:i/>
        </w:rPr>
        <w:t>V</w:t>
      </w:r>
      <w:r>
        <w:t xml:space="preserve">) curves of the champion devices are presented in Figure </w:t>
      </w:r>
      <w:r>
        <w:rPr>
          <w:b/>
          <w:color w:val="0056B3"/>
        </w:rPr>
        <w:t>[Xa]</w:t>
      </w:r>
      <w:r>
        <w:t xml:space="preserve">, and the corresponding photovoltaic parameters are summarized in Table </w:t>
      </w:r>
      <w:r>
        <w:rPr>
          <w:b/>
          <w:color w:val="0056B3"/>
        </w:rPr>
        <w:t>[X]</w:t>
      </w:r>
      <w:r>
        <w:t xml:space="preserve">. The control devices based on </w:t>
      </w:r>
      <w:r>
        <w:rPr>
          <w:b/>
          <w:color w:val="0056B3"/>
        </w:rPr>
        <w:t>[SAM-A]</w:t>
      </w:r>
      <w:r>
        <w:t xml:space="preserve"> and </w:t>
      </w:r>
      <w:r>
        <w:rPr>
          <w:b/>
          <w:color w:val="0056B3"/>
        </w:rPr>
        <w:t>[SAM-B]</w:t>
      </w:r>
      <w:r>
        <w:t xml:space="preserve"> delivered champion PCEs of </w:t>
      </w:r>
      <w:r>
        <w:rPr>
          <w:b/>
          <w:color w:val="0056B3"/>
        </w:rPr>
        <w:t>[XX.XX]%</w:t>
      </w:r>
      <w:r>
        <w:t xml:space="preserve"> and </w:t>
      </w:r>
      <w:r>
        <w:rPr>
          <w:b/>
          <w:color w:val="0056B3"/>
        </w:rPr>
        <w:t>[XX.XX]%</w:t>
      </w:r>
      <w:r>
        <w:t xml:space="preserve">, respectively. By contrast, the sequential </w:t>
      </w:r>
      <w:r>
        <w:rPr>
          <w:b/>
          <w:color w:val="0056B3"/>
        </w:rPr>
        <w:t>[SAM-A/SAM-B]</w:t>
      </w:r>
      <w:r>
        <w:t xml:space="preserve"> device achieved a markedly enhanced PCE of </w:t>
      </w:r>
      <w:r>
        <w:rPr>
          <w:b/>
          <w:color w:val="0056B3"/>
        </w:rPr>
        <w:t>[XX.XX]%</w:t>
      </w:r>
      <w:r>
        <w:t>, with an open-circuit voltage (</w:t>
      </w:r>
      <w:r>
        <w:rPr>
          <w:i/>
        </w:rPr>
        <w:t>V</w:t>
      </w:r>
      <w:r>
        <w:rPr>
          <w:vertAlign w:val="subscript"/>
        </w:rPr>
        <w:t>OC</w:t>
      </w:r>
      <w:r>
        <w:t xml:space="preserve">) of </w:t>
      </w:r>
      <w:r>
        <w:rPr>
          <w:b/>
          <w:color w:val="0056B3"/>
        </w:rPr>
        <w:t>[X.XXX] V</w:t>
      </w:r>
      <w:r>
        <w:t>, a short-circuit current density (</w:t>
      </w:r>
      <w:r>
        <w:rPr>
          <w:i/>
        </w:rPr>
        <w:t>J</w:t>
      </w:r>
      <w:r>
        <w:rPr>
          <w:vertAlign w:val="subscript"/>
        </w:rPr>
        <w:t>SC</w:t>
      </w:r>
      <w:r>
        <w:t xml:space="preserve">) of </w:t>
      </w:r>
      <w:r>
        <w:rPr>
          <w:b/>
          <w:color w:val="0056B3"/>
        </w:rPr>
        <w:t>[XX.XX] mA cm</w:t>
      </w:r>
      <w:r>
        <w:rPr>
          <w:vertAlign w:val="superscript"/>
        </w:rPr>
        <w:t>-2</w:t>
      </w:r>
      <w:r>
        <w:t xml:space="preserve">, and a fill factor (FF) of </w:t>
      </w:r>
      <w:r>
        <w:rPr>
          <w:b/>
          <w:color w:val="0056B3"/>
        </w:rPr>
        <w:t>[XX.XX]%</w:t>
      </w:r>
      <w:r>
        <w:t xml:space="preserve">. Notably, the co-deposited and reverse-order devices exhibited lower PCEs of </w:t>
      </w:r>
      <w:r>
        <w:rPr>
          <w:b/>
          <w:color w:val="0056B3"/>
        </w:rPr>
        <w:t>[XX.XX]%</w:t>
      </w:r>
      <w:r>
        <w:t xml:space="preserve"> and </w:t>
      </w:r>
      <w:r>
        <w:rPr>
          <w:b/>
          <w:color w:val="0056B3"/>
        </w:rPr>
        <w:t>[XX.XX]%</w:t>
      </w:r>
      <w:r>
        <w:t xml:space="preserve">, respectively, demonstrating that the performance enhancement cannot be reproduced by simply combining the two molecular components and instead depends critically on the </w:t>
      </w:r>
      <w:r>
        <w:rPr>
          <w:b/>
          <w:color w:val="0056B3"/>
        </w:rPr>
        <w:t>[SAM-A]-then-[SAM-B]</w:t>
      </w:r>
      <w:r>
        <w:t xml:space="preserve"> deposition sequence. Analysis of the individual device parameters indicates that the PCE improvement originates primarily from the simultaneous enhancement of </w:t>
      </w:r>
      <w:r>
        <w:rPr>
          <w:b/>
          <w:color w:val="0056B3"/>
        </w:rPr>
        <w:t>[VOC AND FF / VOC, JSC, AND FF]</w:t>
      </w:r>
      <w:r>
        <w:t>, consistent with suppressed interfacial recombination and more efficient charge extraction across the sequentially assembled buried contact.</w:t>
      </w:r>
    </w:p>
    <w:p>
      <w:r>
        <w:t xml:space="preserve">The reliability of the photovoltaic measurements was further assessed using complementary steady-state and statistical analyses. The forward- and reverse-scan </w:t>
      </w:r>
      <w:r>
        <w:rPr>
          <w:i/>
        </w:rPr>
        <w:t>J</w:t>
      </w:r>
      <w:r>
        <w:t>-</w:t>
      </w:r>
      <w:r>
        <w:rPr>
          <w:i/>
        </w:rPr>
        <w:t>V</w:t>
      </w:r>
      <w:r>
        <w:t xml:space="preserve"> curves of the optimized device showed </w:t>
      </w:r>
      <w:r>
        <w:rPr>
          <w:b/>
          <w:color w:val="0056B3"/>
        </w:rPr>
        <w:t>[NEGLIGIBLE/REDUCED]</w:t>
      </w:r>
      <w:r>
        <w:t xml:space="preserve"> hysteresis, with a hysteresis index of </w:t>
      </w:r>
      <w:r>
        <w:rPr>
          <w:b/>
          <w:color w:val="0056B3"/>
        </w:rPr>
        <w:t>[X.XX]%</w:t>
      </w:r>
      <w:r>
        <w:t xml:space="preserve">, compared with </w:t>
      </w:r>
      <w:r>
        <w:rPr>
          <w:b/>
          <w:color w:val="0056B3"/>
        </w:rPr>
        <w:t>[X.XX]%</w:t>
      </w:r>
      <w:r>
        <w:t xml:space="preserve"> for the </w:t>
      </w:r>
      <w:r>
        <w:rPr>
          <w:b/>
          <w:color w:val="0056B3"/>
        </w:rPr>
        <w:t>[REFERENCE DEVICE]</w:t>
      </w:r>
      <w:r>
        <w:t xml:space="preserve"> (Figure </w:t>
      </w:r>
      <w:r>
        <w:rPr>
          <w:b/>
          <w:color w:val="0056B3"/>
        </w:rPr>
        <w:t>[Xb]</w:t>
      </w:r>
      <w:r>
        <w:t xml:space="preserve">). The external quantum efficiency (EQE) spectrum yielded an integrated </w:t>
      </w:r>
      <w:r>
        <w:rPr>
          <w:i/>
        </w:rPr>
        <w:t>J</w:t>
      </w:r>
      <w:r>
        <w:rPr>
          <w:vertAlign w:val="subscript"/>
        </w:rPr>
        <w:t>SC</w:t>
      </w:r>
      <w:r>
        <w:t xml:space="preserve"> of </w:t>
      </w:r>
      <w:r>
        <w:rPr>
          <w:b/>
          <w:color w:val="0056B3"/>
        </w:rPr>
        <w:t>[XX.XX] mA cm</w:t>
      </w:r>
      <w:r>
        <w:rPr>
          <w:vertAlign w:val="superscript"/>
        </w:rPr>
        <w:t>-2</w:t>
      </w:r>
      <w:r>
        <w:t xml:space="preserve">, in close agreement with the value extracted from the </w:t>
      </w:r>
      <w:r>
        <w:rPr>
          <w:i/>
        </w:rPr>
        <w:t>J</w:t>
      </w:r>
      <w:r>
        <w:t>-</w:t>
      </w:r>
      <w:r>
        <w:rPr>
          <w:i/>
        </w:rPr>
        <w:t>V</w:t>
      </w:r>
      <w:r>
        <w:t xml:space="preserve"> measurement (Figure </w:t>
      </w:r>
      <w:r>
        <w:rPr>
          <w:b/>
          <w:color w:val="0056B3"/>
        </w:rPr>
        <w:t>[Xc]</w:t>
      </w:r>
      <w:r>
        <w:t xml:space="preserve">). Under continuous illumination at the maximum power point, the sequential bilayer device maintained a stabilized PCE of </w:t>
      </w:r>
      <w:r>
        <w:rPr>
          <w:b/>
          <w:color w:val="0056B3"/>
        </w:rPr>
        <w:t>[XX.XX]%</w:t>
      </w:r>
      <w:r>
        <w:t xml:space="preserve"> and a steady-state current density of </w:t>
      </w:r>
      <w:r>
        <w:rPr>
          <w:b/>
          <w:color w:val="0056B3"/>
        </w:rPr>
        <w:t>[XX.XX] mA cm</w:t>
      </w:r>
      <w:r>
        <w:rPr>
          <w:vertAlign w:val="superscript"/>
        </w:rPr>
        <w:t>-2</w:t>
      </w:r>
      <w:r>
        <w:t xml:space="preserve"> for </w:t>
      </w:r>
      <w:r>
        <w:rPr>
          <w:b/>
          <w:color w:val="0056B3"/>
        </w:rPr>
        <w:t>[DURATION IN SECONDS]</w:t>
      </w:r>
      <w:r>
        <w:t xml:space="preserve"> (Figure </w:t>
      </w:r>
      <w:r>
        <w:rPr>
          <w:b/>
          <w:color w:val="0056B3"/>
        </w:rPr>
        <w:t>[Xd]</w:t>
      </w:r>
      <w:r>
        <w:t xml:space="preserve">), excluding an overestimation of performance from transient scanning effects. Moreover, the PCE distributions obtained from </w:t>
      </w:r>
      <w:r>
        <w:rPr>
          <w:b/>
          <w:color w:val="0056B3"/>
        </w:rPr>
        <w:t>[NUMBER]</w:t>
      </w:r>
      <w:r>
        <w:t xml:space="preserve"> independently fabricated devices displayed a higher median efficiency and a narrower distribution for the </w:t>
      </w:r>
      <w:r>
        <w:rPr>
          <w:b/>
          <w:color w:val="0056B3"/>
        </w:rPr>
        <w:t>[SAM-A/SAM-B]</w:t>
      </w:r>
      <w:r>
        <w:t xml:space="preserve"> group than for all control groups (Figure </w:t>
      </w:r>
      <w:r>
        <w:rPr>
          <w:b/>
          <w:color w:val="0056B3"/>
        </w:rPr>
        <w:t>[Xe]</w:t>
      </w:r>
      <w:r>
        <w:t>), confirming the reproducibility of the sequential-deposition strategy.</w:t>
      </w:r>
    </w:p>
    <w:p>
      <w:pPr>
        <w:pStyle w:val="AuthorNote"/>
      </w:pPr>
      <w:r>
        <w:rPr>
          <w:b/>
        </w:rPr>
        <w:t>Optional electrical-mechanism paragraph - retain only the measurements available in your study:</w:t>
      </w:r>
    </w:p>
    <w:p>
      <w:r>
        <w:t xml:space="preserve">To elucidate the electrical origin of the improved device performance, the recombination and charge-transport characteristics were systematically examined. From the dependence of </w:t>
      </w:r>
      <w:r>
        <w:rPr>
          <w:i/>
        </w:rPr>
        <w:t>V</w:t>
      </w:r>
      <w:r>
        <w:rPr>
          <w:vertAlign w:val="subscript"/>
        </w:rPr>
        <w:t>OC</w:t>
      </w:r>
      <w:r>
        <w:t xml:space="preserve"> on light intensity, the ideality factor decreased from </w:t>
      </w:r>
      <w:r>
        <w:rPr>
          <w:b/>
          <w:color w:val="0056B3"/>
        </w:rPr>
        <w:t>[X.XX]</w:t>
      </w:r>
      <w:r>
        <w:t xml:space="preserve"> for the </w:t>
      </w:r>
      <w:r>
        <w:rPr>
          <w:b/>
          <w:color w:val="0056B3"/>
        </w:rPr>
        <w:t>[REFERENCE]</w:t>
      </w:r>
      <w:r>
        <w:t xml:space="preserve"> device to </w:t>
      </w:r>
      <w:r>
        <w:rPr>
          <w:b/>
          <w:color w:val="0056B3"/>
        </w:rPr>
        <w:t>[X.XX]</w:t>
      </w:r>
      <w:r>
        <w:t xml:space="preserve"> for the </w:t>
      </w:r>
      <w:r>
        <w:rPr>
          <w:b/>
          <w:color w:val="0056B3"/>
        </w:rPr>
        <w:t>[SAM-A/SAM-B]</w:t>
      </w:r>
      <w:r>
        <w:t xml:space="preserve"> device (Figure </w:t>
      </w:r>
      <w:r>
        <w:rPr>
          <w:b/>
          <w:color w:val="0056B3"/>
        </w:rPr>
        <w:t>[Ya]</w:t>
      </w:r>
      <w:r>
        <w:t xml:space="preserve">), indicating reduced trap-assisted Shockley-Read-Hall recombination. Consistently, space-charge-limited-current measurements showed that the trap-filled-limit voltage decreased from </w:t>
      </w:r>
      <w:r>
        <w:rPr>
          <w:b/>
          <w:color w:val="0056B3"/>
        </w:rPr>
        <w:t>[X.XX] V</w:t>
      </w:r>
      <w:r>
        <w:t xml:space="preserve"> to </w:t>
      </w:r>
      <w:r>
        <w:rPr>
          <w:b/>
          <w:color w:val="0056B3"/>
        </w:rPr>
        <w:t>[X.XX] V</w:t>
      </w:r>
      <w:r>
        <w:t xml:space="preserve">, corresponding to a reduction in trap density from </w:t>
      </w:r>
      <w:r>
        <w:rPr>
          <w:b/>
          <w:color w:val="0056B3"/>
        </w:rPr>
        <w:t>[X.XX x 10^XX] cm</w:t>
      </w:r>
      <w:r>
        <w:rPr>
          <w:vertAlign w:val="superscript"/>
        </w:rPr>
        <w:t>-3</w:t>
      </w:r>
      <w:r>
        <w:t xml:space="preserve"> to </w:t>
      </w:r>
      <w:r>
        <w:rPr>
          <w:b/>
          <w:color w:val="0056B3"/>
        </w:rPr>
        <w:t>[X.XX x 10^XX] cm</w:t>
      </w:r>
      <w:r>
        <w:rPr>
          <w:vertAlign w:val="superscript"/>
        </w:rPr>
        <w:t>-3</w:t>
      </w:r>
      <w:r>
        <w:t xml:space="preserve"> (Figure </w:t>
      </w:r>
      <w:r>
        <w:rPr>
          <w:b/>
          <w:color w:val="0056B3"/>
        </w:rPr>
        <w:t>[Yb]</w:t>
      </w:r>
      <w:r>
        <w:t xml:space="preserve">). Electrochemical impedance spectroscopy further revealed a </w:t>
      </w:r>
      <w:r>
        <w:rPr>
          <w:b/>
          <w:color w:val="0056B3"/>
        </w:rPr>
        <w:t>[LARGER]</w:t>
      </w:r>
      <w:r>
        <w:t xml:space="preserve"> recombination resistance of </w:t>
      </w:r>
      <w:r>
        <w:rPr>
          <w:b/>
          <w:color w:val="0056B3"/>
        </w:rPr>
        <w:t>[VALUE] ohm</w:t>
      </w:r>
      <w:r>
        <w:t xml:space="preserve"> and a </w:t>
      </w:r>
      <w:r>
        <w:rPr>
          <w:b/>
          <w:color w:val="0056B3"/>
        </w:rPr>
        <w:t>[SMALLER]</w:t>
      </w:r>
      <w:r>
        <w:t xml:space="preserve"> series resistance of </w:t>
      </w:r>
      <w:r>
        <w:rPr>
          <w:b/>
          <w:color w:val="0056B3"/>
        </w:rPr>
        <w:t>[VALUE] ohm</w:t>
      </w:r>
      <w:r>
        <w:t xml:space="preserve"> for the sequential bilayer device relative to </w:t>
      </w:r>
      <w:r>
        <w:rPr>
          <w:b/>
          <w:color w:val="0056B3"/>
        </w:rPr>
        <w:t>[CONTROL VALUES]</w:t>
      </w:r>
      <w:r>
        <w:t xml:space="preserve"> (Figure </w:t>
      </w:r>
      <w:r>
        <w:rPr>
          <w:b/>
          <w:color w:val="0056B3"/>
        </w:rPr>
        <w:t>[Yc]</w:t>
      </w:r>
      <w:r>
        <w:t xml:space="preserve">), evidencing suppressed charge recombination and reduced transport losses. In addition, the transient photocurrent decay time shortened from </w:t>
      </w:r>
      <w:r>
        <w:rPr>
          <w:b/>
          <w:color w:val="0056B3"/>
        </w:rPr>
        <w:t>[X.XX] us</w:t>
      </w:r>
      <w:r>
        <w:t xml:space="preserve"> to </w:t>
      </w:r>
      <w:r>
        <w:rPr>
          <w:b/>
          <w:color w:val="0056B3"/>
        </w:rPr>
        <w:t>[X.XX] us</w:t>
      </w:r>
      <w:r>
        <w:t xml:space="preserve">, whereas the transient photovoltage lifetime increased from </w:t>
      </w:r>
      <w:r>
        <w:rPr>
          <w:b/>
          <w:color w:val="0056B3"/>
        </w:rPr>
        <w:t>[X.XX] us</w:t>
      </w:r>
      <w:r>
        <w:t xml:space="preserve"> to </w:t>
      </w:r>
      <w:r>
        <w:rPr>
          <w:b/>
          <w:color w:val="0056B3"/>
        </w:rPr>
        <w:t>[X.XX] us</w:t>
      </w:r>
      <w:r>
        <w:t xml:space="preserve"> (Figure </w:t>
      </w:r>
      <w:r>
        <w:rPr>
          <w:b/>
          <w:color w:val="0056B3"/>
        </w:rPr>
        <w:t>[Yd,e]</w:t>
      </w:r>
      <w:r>
        <w:t xml:space="preserve">), confirming accelerated charge extraction together with prolonged carrier survival. Collectively, these electrical measurements demonstrate that the order-controlled bilayer simultaneously reduces trap-mediated recombination and facilitates interfacial charge transport, accounting for the concurrent gains in </w:t>
      </w:r>
      <w:r>
        <w:rPr>
          <w:i/>
        </w:rPr>
        <w:t>V</w:t>
      </w:r>
      <w:r>
        <w:rPr>
          <w:vertAlign w:val="subscript"/>
        </w:rPr>
        <w:t>OC</w:t>
      </w:r>
      <w:r>
        <w:t>, FF, and overall device efficiency.</w:t>
      </w:r>
    </w:p>
    <w:p>
      <w:pPr>
        <w:pStyle w:val="AuthorNote"/>
      </w:pPr>
      <w:r>
        <w:rPr>
          <w:b/>
        </w:rPr>
        <w:t>Optional stability closing sentence - use only if stability data belong in this subsection:</w:t>
      </w:r>
    </w:p>
    <w:p>
      <w:r>
        <w:t xml:space="preserve">The improved interfacial quality also translated into enhanced device stability. Under </w:t>
      </w:r>
      <w:r>
        <w:rPr>
          <w:b/>
          <w:color w:val="0056B3"/>
        </w:rPr>
        <w:t>[ENCAPSULATED/UNENCAPSULATED]</w:t>
      </w:r>
      <w:r>
        <w:t xml:space="preserve"> </w:t>
      </w:r>
      <w:r>
        <w:rPr>
          <w:b/>
          <w:color w:val="0056B3"/>
        </w:rPr>
        <w:t>[MPP/OPEN-CIRCUIT/STORAGE]</w:t>
      </w:r>
      <w:r>
        <w:t xml:space="preserve"> conditions at </w:t>
      </w:r>
      <w:r>
        <w:rPr>
          <w:b/>
          <w:color w:val="0056B3"/>
        </w:rPr>
        <w:t>[TEMPERATURE] degrees C</w:t>
      </w:r>
      <w:r>
        <w:t xml:space="preserve"> and </w:t>
      </w:r>
      <w:r>
        <w:rPr>
          <w:b/>
          <w:color w:val="0056B3"/>
        </w:rPr>
        <w:t>[RELATIVE HUMIDITY/ATMOSPHERE/ILLUMINATION]</w:t>
      </w:r>
      <w:r>
        <w:t xml:space="preserve">, the </w:t>
      </w:r>
      <w:r>
        <w:rPr>
          <w:b/>
          <w:color w:val="0056B3"/>
        </w:rPr>
        <w:t>[SAM-A/SAM-B]</w:t>
      </w:r>
      <w:r>
        <w:t xml:space="preserve"> device retained </w:t>
      </w:r>
      <w:r>
        <w:rPr>
          <w:b/>
          <w:color w:val="0056B3"/>
        </w:rPr>
        <w:t>[XX]%</w:t>
      </w:r>
      <w:r>
        <w:t xml:space="preserve"> of its initial PCE after </w:t>
      </w:r>
      <w:r>
        <w:rPr>
          <w:b/>
          <w:color w:val="0056B3"/>
        </w:rPr>
        <w:t>[XXXX] h</w:t>
      </w:r>
      <w:r>
        <w:t xml:space="preserve">, whereas the </w:t>
      </w:r>
      <w:r>
        <w:rPr>
          <w:b/>
          <w:color w:val="0056B3"/>
        </w:rPr>
        <w:t>[REFERENCE]</w:t>
      </w:r>
      <w:r>
        <w:t xml:space="preserve"> device retained only </w:t>
      </w:r>
      <w:r>
        <w:rPr>
          <w:b/>
          <w:color w:val="0056B3"/>
        </w:rPr>
        <w:t>[XX]%</w:t>
      </w:r>
      <w:r>
        <w:t xml:space="preserve"> under identical conditions (Figure </w:t>
      </w:r>
      <w:r>
        <w:rPr>
          <w:b/>
          <w:color w:val="0056B3"/>
        </w:rPr>
        <w:t>[Yf]</w:t>
      </w:r>
      <w:r>
        <w:t>), highlighting the role of the sequential bilayer in mitigating electrically active interfacial degradation pathways.</w:t>
      </w:r>
    </w:p>
    <w:p>
      <w:pPr>
        <w:pStyle w:val="Heading1"/>
      </w:pPr>
      <w:r>
        <w:t>Data Replacement Guide</w:t>
      </w:r>
    </w:p>
    <w:p>
      <w:pPr>
        <w:pStyle w:val="AuthorNote"/>
        <w:spacing w:after="60"/>
        <w:ind w:left="216" w:hanging="216"/>
      </w:pPr>
      <w:r>
        <w:rPr>
          <w:b/>
          <w:color w:val="17365D"/>
        </w:rPr>
        <w:t xml:space="preserve">Core J-V comparison: </w:t>
      </w:r>
      <w:r>
        <w:t>Champion and preferably average/median VOC, JSC, FF, and PCE for SAM-A, SAM-B, A/B, B/A, and co-deposited devices.</w:t>
      </w:r>
    </w:p>
    <w:p>
      <w:pPr>
        <w:pStyle w:val="AuthorNote"/>
        <w:spacing w:after="60"/>
        <w:ind w:left="216" w:hanging="216"/>
      </w:pPr>
      <w:r>
        <w:rPr>
          <w:b/>
          <w:color w:val="17365D"/>
        </w:rPr>
        <w:t xml:space="preserve">Reliability checks: </w:t>
      </w:r>
      <w:r>
        <w:t>Forward/reverse scans, hysteresis index, EQE-integrated JSC, stabilized output duration, and device-count statistics.</w:t>
      </w:r>
    </w:p>
    <w:p>
      <w:pPr>
        <w:pStyle w:val="AuthorNote"/>
        <w:spacing w:after="60"/>
        <w:ind w:left="216" w:hanging="216"/>
      </w:pPr>
      <w:r>
        <w:rPr>
          <w:b/>
          <w:color w:val="17365D"/>
        </w:rPr>
        <w:t xml:space="preserve">Electrical mechanism: </w:t>
      </w:r>
      <w:r>
        <w:t>Use only available tests: light-intensity-dependent VOC, SCLC, EIS, TPC/TPV, dark J-V, Mott-Schottky, or capacitance-frequency measurements.</w:t>
      </w:r>
    </w:p>
    <w:p>
      <w:pPr>
        <w:pStyle w:val="AuthorNote"/>
        <w:spacing w:after="60"/>
        <w:ind w:left="216" w:hanging="216"/>
      </w:pPr>
      <w:r>
        <w:rPr>
          <w:b/>
          <w:color w:val="17365D"/>
        </w:rPr>
        <w:t xml:space="preserve">Causal wording: </w:t>
      </w:r>
      <w:r>
        <w:t>Use 'demonstrates' for direct electrical evidence; use 'suggests' or 'is consistent with' when the mechanism is inferred indirectly.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uthorNote"/>
      <w:jc w:val="right"/>
    </w:pPr>
    <w:r>
      <w:t>MANUSCRIPT DRAFT  |  OPTOELECTRONIC CHARACTERIZATION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  <w:jc w:val="both"/>
    </w:pPr>
    <w:rPr>
      <w:rFonts w:ascii="Times New Roman" w:hAnsi="Times New Roman" w:eastAsia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Note">
    <w:name w:val="Author Note"/>
    <w:pPr>
      <w:spacing w:line="259" w:lineRule="auto" w:after="80"/>
    </w:pPr>
    <w:rPr>
      <w:rFonts w:ascii="Arial" w:hAnsi="Arial" w:eastAsia="Arial"/>
      <w:color w:val="555F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Sequential AB SAM - Optoelectronic and Electrical Characterization</dc:title>
  <dc:subject>Insertion-ready manuscript section for J-V-centered device characterization</dc:subject>
  <dc:creator/>
  <cp:keywords>perovskite solar cells; J-V; EQE; SCLC; EIS; sequential SAM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