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41FD" w14:textId="2CA9C670" w:rsidR="000B22FD" w:rsidRPr="00676037" w:rsidRDefault="00676037">
      <w:pPr>
        <w:rPr>
          <w:lang w:val="it-IT"/>
        </w:rPr>
      </w:pPr>
      <w:r w:rsidRPr="00676037">
        <w:rPr>
          <w:lang w:val="it-IT"/>
        </w:rPr>
        <w:t>Per la prima iterazione AMDD del progetto si è deciso di imple</w:t>
      </w:r>
      <w:r>
        <w:rPr>
          <w:lang w:val="it-IT"/>
        </w:rPr>
        <w:t>mentare quanto necessario a rendere praticabile il caso d’uso UC1 (Gestione appuntamenti).</w:t>
      </w:r>
    </w:p>
    <w:sectPr w:rsidR="000B22FD" w:rsidRPr="0067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FD"/>
    <w:rsid w:val="000B22FD"/>
    <w:rsid w:val="0067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F1E3"/>
  <w15:chartTrackingRefBased/>
  <w15:docId w15:val="{674E9380-9D72-4741-8185-A53585E3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2</cp:revision>
  <dcterms:created xsi:type="dcterms:W3CDTF">2022-01-24T13:30:00Z</dcterms:created>
  <dcterms:modified xsi:type="dcterms:W3CDTF">2022-01-24T13:31:00Z</dcterms:modified>
</cp:coreProperties>
</file>