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9F2659" w:rsidRDefault="00285ED7">
      <w:pPr>
        <w:pStyle w:val="Title"/>
        <w:rPr>
          <w:lang w:val="pt-BR"/>
        </w:rPr>
      </w:pPr>
      <w:r w:rsidRPr="009F2659">
        <w:rPr>
          <w:lang w:val="pt-BR"/>
        </w:rPr>
        <w:t xml:space="preserve">Caso de Uso: </w:t>
      </w:r>
      <w:r w:rsidR="00854813">
        <w:rPr>
          <w:lang w:val="pt-BR"/>
        </w:rPr>
        <w:t>Gerar Gráfico de Glicemia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BodyText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C83B75">
        <w:rPr>
          <w:lang w:val="pt-BR"/>
        </w:rPr>
        <w:t xml:space="preserve">gerar um gráfico para o usuário com o histórico do índice </w:t>
      </w:r>
      <w:r w:rsidR="0082140F">
        <w:rPr>
          <w:lang w:val="pt-BR"/>
        </w:rPr>
        <w:t>Glicêmico</w:t>
      </w:r>
      <w:bookmarkStart w:id="0" w:name="_GoBack"/>
      <w:bookmarkEnd w:id="0"/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Pr="009F2659" w:rsidRDefault="00C83B75">
      <w:pPr>
        <w:pStyle w:val="Heading2"/>
        <w:rPr>
          <w:lang w:val="pt-BR"/>
        </w:rPr>
      </w:pPr>
      <w:r>
        <w:rPr>
          <w:lang w:val="pt-BR"/>
        </w:rPr>
        <w:t xml:space="preserve">Usuário 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C83B75" w:rsidP="003B119B">
      <w:pPr>
        <w:pStyle w:val="BodyText"/>
        <w:rPr>
          <w:lang w:val="pt-BR"/>
        </w:rPr>
      </w:pPr>
      <w:r>
        <w:rPr>
          <w:lang w:val="pt-BR"/>
        </w:rPr>
        <w:t>Um ou mais registros de Glicemia devem estar registrados.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C6BB0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C83B75">
        <w:rPr>
          <w:lang w:val="pt-BR"/>
        </w:rPr>
        <w:t>usuário</w:t>
      </w:r>
      <w:r w:rsidR="009F2659">
        <w:rPr>
          <w:lang w:val="pt-BR"/>
        </w:rPr>
        <w:t xml:space="preserve"> clica </w:t>
      </w:r>
      <w:r w:rsidR="00C83B75">
        <w:rPr>
          <w:lang w:val="pt-BR"/>
        </w:rPr>
        <w:t xml:space="preserve">no botão de Gráfico de Glicemia </w:t>
      </w:r>
    </w:p>
    <w:p w:rsidR="009F2659" w:rsidRPr="009F2659" w:rsidRDefault="00C83B75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É aberta uma janela para o usuário escolher uma data de </w:t>
      </w:r>
      <w:r w:rsidR="0082140F">
        <w:rPr>
          <w:lang w:val="pt-BR"/>
        </w:rPr>
        <w:t>início</w:t>
      </w:r>
      <w:r>
        <w:rPr>
          <w:lang w:val="pt-BR"/>
        </w:rPr>
        <w:t xml:space="preserve"> e fim.</w:t>
      </w:r>
    </w:p>
    <w:p w:rsidR="00A165DF" w:rsidRDefault="00C83B75" w:rsidP="00A165DF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clica no </w:t>
      </w:r>
      <w:r w:rsidR="0082140F">
        <w:rPr>
          <w:lang w:val="pt-BR"/>
        </w:rPr>
        <w:t>Botão</w:t>
      </w:r>
      <w:r>
        <w:rPr>
          <w:lang w:val="pt-BR"/>
        </w:rPr>
        <w:t xml:space="preserve"> OK [FA1]</w:t>
      </w:r>
    </w:p>
    <w:p w:rsidR="00247E12" w:rsidRDefault="00247E12" w:rsidP="00247E12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83B75">
        <w:rPr>
          <w:lang w:val="pt-BR"/>
        </w:rPr>
        <w:t>verifica no banco de dados todos os registros glicêmicos do período escolhido [FA2]</w:t>
      </w:r>
    </w:p>
    <w:p w:rsidR="00247E12" w:rsidRDefault="00247E12" w:rsidP="00247E12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83B75">
        <w:rPr>
          <w:lang w:val="pt-BR"/>
        </w:rPr>
        <w:t>mostra o gráfico ao usuário.</w:t>
      </w:r>
    </w:p>
    <w:p w:rsidR="00247E12" w:rsidRPr="00A165DF" w:rsidRDefault="00247E12" w:rsidP="00247E12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Default="00C83B75" w:rsidP="00C83B75">
      <w:pPr>
        <w:pStyle w:val="BodyText"/>
        <w:jc w:val="both"/>
        <w:rPr>
          <w:lang w:val="pt-BR"/>
        </w:rPr>
      </w:pPr>
      <w:r>
        <w:rPr>
          <w:lang w:val="pt-BR"/>
        </w:rPr>
        <w:t>Se no passo 2 o usuário digitar uma data incorreta, uma mensagem de erro é exibida ao usuário, informando que coloque uma data válida.</w:t>
      </w:r>
    </w:p>
    <w:p w:rsidR="00C83B75" w:rsidRPr="00C83B75" w:rsidRDefault="00C83B75" w:rsidP="00C83B75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 w:rsidRPr="00C83B75">
        <w:rPr>
          <w:lang w:val="pt-BR"/>
        </w:rPr>
        <w:t>[FA2]</w:t>
      </w:r>
    </w:p>
    <w:p w:rsidR="00C83B75" w:rsidRPr="00C83B75" w:rsidRDefault="00C83B75" w:rsidP="00C83B75">
      <w:pPr>
        <w:pStyle w:val="Heading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lang w:val="pt-BR"/>
        </w:rPr>
      </w:pPr>
      <w:r w:rsidRPr="00C83B75">
        <w:rPr>
          <w:rFonts w:ascii="Times New Roman" w:hAnsi="Times New Roman"/>
          <w:b w:val="0"/>
          <w:lang w:val="pt-BR"/>
        </w:rPr>
        <w:t>Se não houver registros de glicemia, o sistema exibe uma mensagem de erro informando que não há índices glicêmicos registrados.</w:t>
      </w:r>
    </w:p>
    <w:p w:rsidR="00285ED7" w:rsidRPr="009F2659" w:rsidRDefault="009F2659" w:rsidP="00C83B75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Pr="00247E12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85ED7" w:rsidRDefault="00C83B75">
      <w:pPr>
        <w:pStyle w:val="Heading2"/>
        <w:rPr>
          <w:lang w:val="pt-BR"/>
        </w:rPr>
      </w:pPr>
      <w:r>
        <w:rPr>
          <w:lang w:val="pt-BR"/>
        </w:rPr>
        <w:t>Gráfico exibido</w:t>
      </w:r>
    </w:p>
    <w:p w:rsidR="002A4905" w:rsidRPr="002A4905" w:rsidRDefault="002A4905" w:rsidP="002A4905">
      <w:pPr>
        <w:ind w:left="720"/>
        <w:rPr>
          <w:lang w:val="pt-BR"/>
        </w:rPr>
      </w:pPr>
      <w:r>
        <w:rPr>
          <w:lang w:val="pt-BR"/>
        </w:rPr>
        <w:t xml:space="preserve">Ao final da execução deste caso de uso, </w:t>
      </w:r>
      <w:r w:rsidR="00C83B75">
        <w:rPr>
          <w:lang w:val="pt-BR"/>
        </w:rPr>
        <w:t xml:space="preserve">o gráfico </w:t>
      </w:r>
      <w:r w:rsidR="007274CC">
        <w:rPr>
          <w:lang w:val="pt-BR"/>
        </w:rPr>
        <w:t>é exibido ao usuário.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BodyText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303" w:rsidRDefault="00786303">
      <w:r>
        <w:separator/>
      </w:r>
    </w:p>
  </w:endnote>
  <w:endnote w:type="continuationSeparator" w:id="0">
    <w:p w:rsidR="00786303" w:rsidRDefault="0078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82140F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82140F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303" w:rsidRDefault="00786303">
      <w:r>
        <w:separator/>
      </w:r>
    </w:p>
  </w:footnote>
  <w:footnote w:type="continuationSeparator" w:id="0">
    <w:p w:rsidR="00786303" w:rsidRDefault="00786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Default="00285ED7" w:rsidP="009F265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C83B75" w:rsidRPr="00C83B75">
            <w:rPr>
              <w:sz w:val="20"/>
              <w:lang w:val="pt-BR"/>
            </w:rPr>
            <w:t>Gerar Gráfico de Glicemia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155B6B"/>
    <w:rsid w:val="001C3AA8"/>
    <w:rsid w:val="00247E12"/>
    <w:rsid w:val="00285ED7"/>
    <w:rsid w:val="002A4905"/>
    <w:rsid w:val="002C5340"/>
    <w:rsid w:val="00302C11"/>
    <w:rsid w:val="003B119B"/>
    <w:rsid w:val="003C6BB0"/>
    <w:rsid w:val="004722DE"/>
    <w:rsid w:val="00515B0A"/>
    <w:rsid w:val="00581220"/>
    <w:rsid w:val="00603B2D"/>
    <w:rsid w:val="006E2507"/>
    <w:rsid w:val="007274CC"/>
    <w:rsid w:val="00786303"/>
    <w:rsid w:val="0082140F"/>
    <w:rsid w:val="00854813"/>
    <w:rsid w:val="00901B3A"/>
    <w:rsid w:val="009F2659"/>
    <w:rsid w:val="00A165DF"/>
    <w:rsid w:val="00A53745"/>
    <w:rsid w:val="00AA2324"/>
    <w:rsid w:val="00B804DA"/>
    <w:rsid w:val="00B9279E"/>
    <w:rsid w:val="00C83B75"/>
    <w:rsid w:val="00DA19C7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5</cp:revision>
  <cp:lastPrinted>2015-04-11T18:09:00Z</cp:lastPrinted>
  <dcterms:created xsi:type="dcterms:W3CDTF">2015-09-30T15:38:00Z</dcterms:created>
  <dcterms:modified xsi:type="dcterms:W3CDTF">2015-09-30T18:27:00Z</dcterms:modified>
</cp:coreProperties>
</file>