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09E66" w14:textId="77777777" w:rsidR="00000000" w:rsidRDefault="00955F6B">
      <w:pPr>
        <w:pStyle w:val="Heading1"/>
        <w:rPr>
          <w:rFonts w:eastAsia="Times New Roman"/>
        </w:rPr>
      </w:pPr>
      <w:bookmarkStart w:id="0" w:name="_GoBack"/>
      <w:bookmarkEnd w:id="0"/>
      <w:r>
        <w:rPr>
          <w:rFonts w:eastAsia="Times New Roman"/>
        </w:rPr>
        <w:t xml:space="preserve">Long-term monitoring and experimental manipulation of a Chihuahuan Desert ant community near Portal, Arizona (1977 – 2009). </w:t>
      </w:r>
    </w:p>
    <w:p w14:paraId="14B992F0" w14:textId="77777777" w:rsidR="00000000" w:rsidRDefault="00955F6B">
      <w:pPr>
        <w:pStyle w:val="Heading1"/>
        <w:rPr>
          <w:rFonts w:eastAsia="Times New Roman"/>
        </w:rPr>
      </w:pPr>
      <w:r>
        <w:rPr>
          <w:rFonts w:eastAsia="Times New Roman"/>
        </w:rPr>
        <w:t>Authors</w:t>
      </w:r>
    </w:p>
    <w:p w14:paraId="2E46B989" w14:textId="77777777" w:rsidR="00000000" w:rsidRDefault="00955F6B">
      <w:r>
        <w:t xml:space="preserve">S.K. Morgan Ernest </w:t>
      </w:r>
    </w:p>
    <w:p w14:paraId="6A488705" w14:textId="77777777" w:rsidR="00000000" w:rsidRDefault="00955F6B">
      <w:pPr>
        <w:ind w:firstLine="720"/>
      </w:pPr>
      <w:r>
        <w:t>Department of Biology, UMC 5305, Utah State University, Logan, UT 84322</w:t>
      </w:r>
    </w:p>
    <w:p w14:paraId="7B70CB3D" w14:textId="77777777" w:rsidR="00000000" w:rsidRDefault="00955F6B">
      <w:pPr>
        <w:ind w:left="720"/>
      </w:pPr>
      <w:r>
        <w:t>(Department of Wildlife Ecology and Conservation, 110 Newins-Ziegler Hall, PO Box 110430, Gainesville, FL 32611)</w:t>
      </w:r>
    </w:p>
    <w:p w14:paraId="3131F01A" w14:textId="77777777" w:rsidR="00000000" w:rsidRDefault="00955F6B">
      <w:r>
        <w:t>Glenda Yenni</w:t>
      </w:r>
    </w:p>
    <w:p w14:paraId="63D4E28B" w14:textId="77777777" w:rsidR="00000000" w:rsidRDefault="00955F6B">
      <w:pPr>
        <w:ind w:left="720"/>
      </w:pPr>
      <w:r>
        <w:t>Department of Biology, UMC 5305, Utah State University, Logan, UT 84322</w:t>
      </w:r>
    </w:p>
    <w:p w14:paraId="7903EB2C" w14:textId="77777777" w:rsidR="00000000" w:rsidRDefault="00955F6B">
      <w:pPr>
        <w:ind w:left="720"/>
      </w:pPr>
      <w:r>
        <w:t xml:space="preserve"> (Department of Wildlife Ecology and Conservation, 110 New</w:t>
      </w:r>
      <w:r>
        <w:t>ins-Ziegler Hall, PO Box 110430, Gainesville, FL 32611)</w:t>
      </w:r>
    </w:p>
    <w:p w14:paraId="266200C8" w14:textId="77777777" w:rsidR="00000000" w:rsidRDefault="00955F6B">
      <w:r>
        <w:t xml:space="preserve">Ginger Allington </w:t>
      </w:r>
    </w:p>
    <w:p w14:paraId="18C4ADA2" w14:textId="77777777" w:rsidR="00000000" w:rsidRDefault="00955F6B">
      <w:pPr>
        <w:ind w:left="720"/>
      </w:pPr>
      <w:r>
        <w:t>Department of Biology, St. Louis University, 3507 Laclede Ave. St. Louis, MO 63103</w:t>
      </w:r>
    </w:p>
    <w:p w14:paraId="4C45E370" w14:textId="77777777" w:rsidR="00000000" w:rsidRDefault="00955F6B">
      <w:pPr>
        <w:ind w:left="720"/>
      </w:pPr>
      <w:r>
        <w:t xml:space="preserve"> (School of Natural Resources and Environment, University of Michigan, 440 Church St., Ann Arbor, M</w:t>
      </w:r>
      <w:r>
        <w:t>I 48109)</w:t>
      </w:r>
    </w:p>
    <w:p w14:paraId="30331362" w14:textId="77777777" w:rsidR="00000000" w:rsidRDefault="00955F6B">
      <w:r>
        <w:t>Erica Christensen</w:t>
      </w:r>
    </w:p>
    <w:p w14:paraId="327B6C52" w14:textId="77777777" w:rsidR="00000000" w:rsidRDefault="00955F6B">
      <w:pPr>
        <w:ind w:left="720"/>
      </w:pPr>
      <w:r>
        <w:t>Department of Biology, UMC 5305, Utah State University, Logan, UT 84322</w:t>
      </w:r>
    </w:p>
    <w:p w14:paraId="43F757D6" w14:textId="77777777" w:rsidR="00000000" w:rsidRDefault="00955F6B">
      <w:pPr>
        <w:ind w:left="720"/>
      </w:pPr>
      <w:r>
        <w:t xml:space="preserve"> (Department of Wildlife Ecology and Conservation, 110 Newins-Ziegler Hall, PO Box 110430, Gainesville, FL 32611)</w:t>
      </w:r>
    </w:p>
    <w:p w14:paraId="02F1829D" w14:textId="77777777" w:rsidR="00000000" w:rsidRDefault="00955F6B">
      <w:r>
        <w:t xml:space="preserve">Keith Geluso </w:t>
      </w:r>
    </w:p>
    <w:p w14:paraId="062C7AA9" w14:textId="77777777" w:rsidR="00000000" w:rsidRDefault="00955F6B">
      <w:pPr>
        <w:ind w:left="720"/>
      </w:pPr>
      <w:r>
        <w:t>Department of Biology, 167 Ca</w:t>
      </w:r>
      <w:r>
        <w:t>stetter Hall, MSC03 2020, 1 University of New Mexico, Albuquerque, NM 87131</w:t>
      </w:r>
    </w:p>
    <w:p w14:paraId="736A4CA8" w14:textId="77777777" w:rsidR="00000000" w:rsidRDefault="00955F6B">
      <w:pPr>
        <w:ind w:left="720"/>
      </w:pPr>
      <w:r>
        <w:lastRenderedPageBreak/>
        <w:t>(Biology, The University of Nebraska at Kearney, 905 West 25th Street, Kearney, NE 68849)</w:t>
      </w:r>
    </w:p>
    <w:p w14:paraId="500BC0C2" w14:textId="77777777" w:rsidR="00000000" w:rsidRDefault="00955F6B">
      <w:r>
        <w:t xml:space="preserve">Jake Goheen </w:t>
      </w:r>
    </w:p>
    <w:p w14:paraId="6DEEA738" w14:textId="77777777" w:rsidR="00000000" w:rsidRDefault="00955F6B">
      <w:pPr>
        <w:ind w:left="720"/>
      </w:pPr>
      <w:r>
        <w:t>Department of Biology, 167 Castetter Hall, MSC03 2020, 1 University of New Me</w:t>
      </w:r>
      <w:r>
        <w:t>xico, Albuquerque, NM 87131</w:t>
      </w:r>
    </w:p>
    <w:p w14:paraId="7791F9E4" w14:textId="77777777" w:rsidR="00000000" w:rsidRDefault="00955F6B">
      <w:pPr>
        <w:ind w:left="720"/>
      </w:pPr>
      <w:r>
        <w:t>(Departments of Zoology &amp; Physiology and Botany, University of Wyoming, 1000 E. University Ave, Laramie, WY 82071)</w:t>
      </w:r>
    </w:p>
    <w:p w14:paraId="362C850F" w14:textId="77777777" w:rsidR="00000000" w:rsidRDefault="00955F6B">
      <w:r>
        <w:t xml:space="preserve">Michelle Schutzenhofer </w:t>
      </w:r>
    </w:p>
    <w:p w14:paraId="64F95335" w14:textId="77777777" w:rsidR="00000000" w:rsidRDefault="00955F6B">
      <w:pPr>
        <w:ind w:left="720"/>
      </w:pPr>
      <w:r>
        <w:t>Department of Biology, St. Louis University, 3507 Laclede Ave. St. Louis, MO 63103</w:t>
      </w:r>
    </w:p>
    <w:p w14:paraId="4BFA1263" w14:textId="77777777" w:rsidR="00000000" w:rsidRDefault="00955F6B">
      <w:pPr>
        <w:ind w:left="720"/>
      </w:pPr>
      <w:r>
        <w:t>(McKen</w:t>
      </w:r>
      <w:r>
        <w:t>dree University, 701 College Road, Lebanon, Illinois 62254)</w:t>
      </w:r>
    </w:p>
    <w:p w14:paraId="53A03CA6" w14:textId="77777777" w:rsidR="00000000" w:rsidRDefault="00955F6B">
      <w:r>
        <w:t>Sarah Supp</w:t>
      </w:r>
    </w:p>
    <w:p w14:paraId="4543A098" w14:textId="77777777" w:rsidR="00000000" w:rsidRDefault="00955F6B">
      <w:pPr>
        <w:ind w:left="720"/>
      </w:pPr>
      <w:r>
        <w:t>Department of Biology, UMC 5305, Utah State University, Logan, UT 84322</w:t>
      </w:r>
    </w:p>
    <w:p w14:paraId="4E74BD76" w14:textId="77777777" w:rsidR="00000000" w:rsidRDefault="00955F6B">
      <w:pPr>
        <w:ind w:left="720"/>
        <w:rPr>
          <w:bCs w:val="0"/>
        </w:rPr>
      </w:pPr>
      <w:r>
        <w:t>(</w:t>
      </w:r>
      <w:r>
        <w:rPr>
          <w:bCs w:val="0"/>
        </w:rPr>
        <w:t>School of Biology &amp; Ecology, Deering Hall 303, University of Maine, Orono, ME 04469</w:t>
      </w:r>
      <w:r>
        <w:t>)</w:t>
      </w:r>
    </w:p>
    <w:p w14:paraId="6F953453" w14:textId="77777777" w:rsidR="00000000" w:rsidRDefault="00955F6B">
      <w:r>
        <w:t xml:space="preserve">Kate Thibault </w:t>
      </w:r>
    </w:p>
    <w:p w14:paraId="4A0559E6" w14:textId="77777777" w:rsidR="00000000" w:rsidRDefault="00955F6B">
      <w:pPr>
        <w:ind w:left="720"/>
      </w:pPr>
      <w:r>
        <w:t>Department of Biology, 167 Castetter Hall, MSC03 2020, 1 University of New Mexico, Albuquerque, NM 87131</w:t>
      </w:r>
    </w:p>
    <w:p w14:paraId="4A56AF3C" w14:textId="77777777" w:rsidR="00000000" w:rsidRDefault="00955F6B">
      <w:pPr>
        <w:ind w:left="720"/>
      </w:pPr>
      <w:r>
        <w:t xml:space="preserve"> (NEON, 1685 38th Street Suite 100, Boulder, CO 80301)</w:t>
      </w:r>
    </w:p>
    <w:p w14:paraId="7A8D7319" w14:textId="77777777" w:rsidR="00000000" w:rsidRDefault="00955F6B">
      <w:r>
        <w:t xml:space="preserve">James H. Brown </w:t>
      </w:r>
    </w:p>
    <w:p w14:paraId="1F859246" w14:textId="77777777" w:rsidR="00000000" w:rsidRDefault="00955F6B">
      <w:pPr>
        <w:ind w:left="720"/>
      </w:pPr>
      <w:r>
        <w:t>Department of Biology, 167 Castetter Hall, MSC03 2020, 1 University of New Mexic</w:t>
      </w:r>
      <w:r>
        <w:t>o, Albuquerque, NM 87131</w:t>
      </w:r>
    </w:p>
    <w:p w14:paraId="62495B93" w14:textId="77777777" w:rsidR="00000000" w:rsidRDefault="00955F6B">
      <w:r>
        <w:t xml:space="preserve">Thomas J. Valone  </w:t>
      </w:r>
    </w:p>
    <w:p w14:paraId="334AEF91" w14:textId="77777777" w:rsidR="00000000" w:rsidRDefault="00955F6B">
      <w:pPr>
        <w:ind w:left="720"/>
      </w:pPr>
      <w:r>
        <w:t>Department of Biology, St. Louis University, 3507 Laclede Ave. St. Louis, MO 63103</w:t>
      </w:r>
    </w:p>
    <w:p w14:paraId="5CD56D5C" w14:textId="77777777" w:rsidR="00000000" w:rsidRDefault="00955F6B"/>
    <w:p w14:paraId="02D13A8B" w14:textId="77777777" w:rsidR="00000000" w:rsidRDefault="00955F6B">
      <w:r>
        <w:t>INTRODUCTION</w:t>
      </w:r>
    </w:p>
    <w:p w14:paraId="2FBF8AFD" w14:textId="77777777" w:rsidR="00000000" w:rsidRDefault="00955F6B">
      <w:pPr>
        <w:pStyle w:val="NormalWeb"/>
      </w:pPr>
      <w:bookmarkStart w:id="1" w:name="OLE_LINK5"/>
      <w:bookmarkStart w:id="2" w:name="OLE_LINK2"/>
      <w:r>
        <w:t>The long-term data for the ant community at the long-term site near Portal, AZ has been used to address a variety o</w:t>
      </w:r>
      <w:r>
        <w:t xml:space="preserve">f questions examining competition with rodents, impacts on plants, and responses of ants to climate. </w:t>
      </w:r>
    </w:p>
    <w:p w14:paraId="6243D0FF" w14:textId="77777777" w:rsidR="00000000" w:rsidRDefault="00955F6B">
      <w:pPr>
        <w:pStyle w:val="NormalWeb"/>
      </w:pPr>
      <w:r>
        <w:t>Two different types of data on the ant community are collected: bait data and colony data. Collection of bait data started in 1988 and consists of the num</w:t>
      </w:r>
      <w:r>
        <w:t xml:space="preserve">ber of workers of each species observed at baits. Colony data consists of the total number of individual colonies and the number of colony openings for all diurnal species of ants and one nocturnal species, </w:t>
      </w:r>
      <w:r>
        <w:rPr>
          <w:i/>
        </w:rPr>
        <w:t>Myrmecocystus mexicanus</w:t>
      </w:r>
      <w:r>
        <w:t>, whose colonies are ident</w:t>
      </w:r>
      <w:r>
        <w:t xml:space="preserve">ified by their stone entrances. Stake-level colony data was provided starting in 1988 in the previous data publication (Ernest et al 2009). Since then, colony data for 1977 – 1986 have been found and are made available in this update (the 1987 plot totals </w:t>
      </w:r>
      <w:r>
        <w:t xml:space="preserve">are still included in this table). Additionally, all data has been updated to a format more useful in a relational database. </w:t>
      </w:r>
      <w:r>
        <w:rPr>
          <w:bCs w:val="0"/>
        </w:rPr>
        <w:t xml:space="preserve">No data is available for any data type from 1995-1997 because changes in methodology resulted in severe data quality issues. </w:t>
      </w:r>
      <w:r>
        <w:t>Data c</w:t>
      </w:r>
      <w:r>
        <w:t xml:space="preserve">ollection ended in 2009, due to lack of funding. Further details on the ant community and data collection are detailed in this file. </w:t>
      </w:r>
    </w:p>
    <w:bookmarkEnd w:id="1"/>
    <w:bookmarkEnd w:id="2"/>
    <w:p w14:paraId="5EB5A33F" w14:textId="77777777" w:rsidR="00000000" w:rsidRDefault="00955F6B">
      <w:pPr>
        <w:pStyle w:val="Heading1"/>
        <w:rPr>
          <w:rFonts w:eastAsia="Times New Roman"/>
        </w:rPr>
      </w:pPr>
      <w:r>
        <w:rPr>
          <w:rFonts w:eastAsia="Times New Roman"/>
        </w:rPr>
        <w:t>METADATA CLASS I. DATA SET DESCRIPTORS</w:t>
      </w:r>
    </w:p>
    <w:p w14:paraId="79449534" w14:textId="77777777" w:rsidR="00000000" w:rsidRDefault="00955F6B">
      <w:pPr>
        <w:pStyle w:val="NormalWeb"/>
      </w:pPr>
      <w:r>
        <w:t>A. Data set identity:</w:t>
      </w:r>
    </w:p>
    <w:p w14:paraId="571CEC9E" w14:textId="77777777" w:rsidR="00000000" w:rsidRDefault="00955F6B">
      <w:r>
        <w:t>Title: Long-term monitoring and manipulation of an ant commun</w:t>
      </w:r>
      <w:r>
        <w:t>ity in the Chihuahuan Desert near Portal, AZ</w:t>
      </w:r>
      <w:r>
        <w:rPr>
          <w:b/>
        </w:rPr>
        <w:t xml:space="preserve"> </w:t>
      </w:r>
      <w:r>
        <w:t>(1977 – 2009).</w:t>
      </w:r>
    </w:p>
    <w:p w14:paraId="0BAE45A4" w14:textId="77777777" w:rsidR="00000000" w:rsidRDefault="00955F6B">
      <w:pPr>
        <w:pStyle w:val="NormalWeb"/>
      </w:pPr>
      <w:r>
        <w:lastRenderedPageBreak/>
        <w:t xml:space="preserve">B. Data set identification codes: </w:t>
      </w:r>
      <w:r>
        <w:tab/>
        <w:t>Portal_ant_colony_19772009.csv</w:t>
      </w:r>
    </w:p>
    <w:p w14:paraId="37B248B2" w14:textId="77777777" w:rsidR="00000000" w:rsidRDefault="00955F6B">
      <w:pPr>
        <w:pStyle w:val="NormalWeb"/>
      </w:pPr>
      <w:r>
        <w:tab/>
      </w:r>
      <w:r>
        <w:tab/>
      </w:r>
      <w:r>
        <w:tab/>
      </w:r>
      <w:r>
        <w:tab/>
      </w:r>
      <w:r>
        <w:tab/>
        <w:t>Portal_ant_bait_19882009.csv</w:t>
      </w:r>
    </w:p>
    <w:p w14:paraId="4D9B9D45" w14:textId="77777777" w:rsidR="00000000" w:rsidRDefault="00955F6B">
      <w:pPr>
        <w:pStyle w:val="NormalWeb"/>
      </w:pPr>
      <w:r>
        <w:t>C. Data set description</w:t>
      </w:r>
    </w:p>
    <w:p w14:paraId="65ED3A47" w14:textId="77777777" w:rsidR="00000000" w:rsidRDefault="00955F6B">
      <w:pPr>
        <w:pStyle w:val="NormalWeb"/>
      </w:pPr>
      <w:r>
        <w:t xml:space="preserve">Principal Investigators: </w:t>
      </w:r>
    </w:p>
    <w:p w14:paraId="58E1AA4E" w14:textId="77777777" w:rsidR="00000000" w:rsidRDefault="00955F6B">
      <w:pPr>
        <w:pStyle w:val="NormalWeb"/>
      </w:pPr>
      <w:r>
        <w:t>Thomas J. Valone, Department of Biology, Saint</w:t>
      </w:r>
      <w:r>
        <w:t xml:space="preserve"> Louis University, Saint Louis MO 63103.</w:t>
      </w:r>
    </w:p>
    <w:p w14:paraId="644F5D7B" w14:textId="77777777" w:rsidR="00000000" w:rsidRDefault="00955F6B">
      <w:pPr>
        <w:pStyle w:val="NormalWeb"/>
      </w:pPr>
      <w:r>
        <w:rPr>
          <w:b/>
        </w:rPr>
        <w:t xml:space="preserve">Abstract: </w:t>
      </w:r>
      <w:r>
        <w:t>The data set covers a 33 year period (1977-2009) of detailed ant sampling of an arid ecosystem in near Portal, Arizona. Each year, ant colonies were counted within 49 circular 2-m radius quadrats on each o</w:t>
      </w:r>
      <w:r>
        <w:t>f 24 experimental plots.  In addition, a yearly bait census was conducted using 25 regularly spaced 10 cm diameter crushed bait piles on each plot. The data set should prove useful for studies of population dynamics and species interactions. Sampling was t</w:t>
      </w:r>
      <w:r>
        <w:t>erminated in 2009.</w:t>
      </w:r>
    </w:p>
    <w:p w14:paraId="53C22E25" w14:textId="77777777" w:rsidR="00000000" w:rsidRDefault="00955F6B">
      <w:pPr>
        <w:pStyle w:val="NormalWeb"/>
      </w:pPr>
      <w:r>
        <w:rPr>
          <w:b/>
        </w:rPr>
        <w:t xml:space="preserve">D. </w:t>
      </w:r>
      <w:r>
        <w:t xml:space="preserve">Key words: ants, bait census, climate, colony counts, competition, granivory, LTREB data </w:t>
      </w:r>
    </w:p>
    <w:p w14:paraId="5B7121F3" w14:textId="77777777" w:rsidR="00000000" w:rsidRDefault="00955F6B">
      <w:pPr>
        <w:pStyle w:val="Heading1"/>
        <w:rPr>
          <w:rFonts w:eastAsia="Times New Roman"/>
        </w:rPr>
      </w:pPr>
      <w:r>
        <w:rPr>
          <w:rFonts w:eastAsia="Times New Roman"/>
        </w:rPr>
        <w:t>CLASS II. RESEARCH ORIGIN DESCRIPTORS</w:t>
      </w:r>
    </w:p>
    <w:p w14:paraId="1E303F52" w14:textId="77777777" w:rsidR="00000000" w:rsidRDefault="00955F6B">
      <w:pPr>
        <w:pStyle w:val="NormalWeb"/>
      </w:pPr>
      <w:r>
        <w:t>A. Overall project description</w:t>
      </w:r>
    </w:p>
    <w:p w14:paraId="3BF9F0AD" w14:textId="77777777" w:rsidR="00000000" w:rsidRDefault="00955F6B">
      <w:pPr>
        <w:pStyle w:val="NormalWeb"/>
      </w:pPr>
      <w:r>
        <w:rPr>
          <w:b/>
        </w:rPr>
        <w:t xml:space="preserve">Identity: </w:t>
      </w:r>
      <w:r>
        <w:t>Bait and colony based data for the 24 experimental plots at the 2</w:t>
      </w:r>
      <w:r>
        <w:t>0 ha study site in the Chihuahuan Desert near Portal, AZ.</w:t>
      </w:r>
    </w:p>
    <w:p w14:paraId="7E92E60D" w14:textId="77777777" w:rsidR="00000000" w:rsidRDefault="00955F6B">
      <w:pPr>
        <w:pStyle w:val="NormalWeb"/>
      </w:pPr>
      <w:r>
        <w:rPr>
          <w:b/>
        </w:rPr>
        <w:t>Originators:</w:t>
      </w:r>
      <w:r>
        <w:t xml:space="preserve"> Drs. James H. Brown, Diane W Davidson, James Reichman</w:t>
      </w:r>
    </w:p>
    <w:p w14:paraId="64906C51" w14:textId="77777777" w:rsidR="00000000" w:rsidRDefault="00955F6B">
      <w:pPr>
        <w:pStyle w:val="NormalWeb"/>
      </w:pPr>
      <w:r>
        <w:rPr>
          <w:b/>
        </w:rPr>
        <w:lastRenderedPageBreak/>
        <w:t>Period of Study:</w:t>
      </w:r>
      <w:r>
        <w:t xml:space="preserve"> 1977-2009</w:t>
      </w:r>
    </w:p>
    <w:p w14:paraId="13985956" w14:textId="77777777" w:rsidR="00000000" w:rsidRDefault="00955F6B">
      <w:pPr>
        <w:pStyle w:val="NormalWeb"/>
      </w:pPr>
      <w:r>
        <w:rPr>
          <w:b/>
        </w:rPr>
        <w:t xml:space="preserve">Objectives: </w:t>
      </w:r>
      <w:r>
        <w:t>To monitor a) the community- and population-level dynamics of desert ants and b) the effects</w:t>
      </w:r>
      <w:r>
        <w:t xml:space="preserve"> of granivore manipulation on this community.</w:t>
      </w:r>
    </w:p>
    <w:p w14:paraId="56A80006" w14:textId="77777777" w:rsidR="00000000" w:rsidRDefault="00955F6B">
      <w:pPr>
        <w:pStyle w:val="NormalWeb"/>
      </w:pPr>
      <w:r>
        <w:rPr>
          <w:b/>
        </w:rPr>
        <w:t xml:space="preserve">Source(s) of funding: </w:t>
      </w:r>
      <w:r>
        <w:t>See</w:t>
      </w:r>
      <w:r>
        <w:rPr>
          <w:b/>
        </w:rPr>
        <w:t xml:space="preserve"> </w:t>
      </w:r>
      <w:bookmarkStart w:id="3" w:name="OLE_LINK6"/>
      <w:bookmarkStart w:id="4" w:name="OLE_LINK1"/>
      <w:r>
        <w:t>Portal_overview_metadata.html</w:t>
      </w:r>
    </w:p>
    <w:bookmarkEnd w:id="3"/>
    <w:bookmarkEnd w:id="4"/>
    <w:p w14:paraId="0615C079" w14:textId="77777777" w:rsidR="00000000" w:rsidRDefault="00955F6B">
      <w:pPr>
        <w:pStyle w:val="NormalWeb"/>
      </w:pPr>
      <w:r>
        <w:t>B. Specific subproject description</w:t>
      </w:r>
    </w:p>
    <w:p w14:paraId="0B8590B7" w14:textId="77777777" w:rsidR="00000000" w:rsidRDefault="00955F6B">
      <w:pPr>
        <w:pStyle w:val="NormalWeb"/>
      </w:pPr>
      <w:r>
        <w:t xml:space="preserve">(This description is identical to Ernest et al 2009 because there are no </w:t>
      </w:r>
      <w:r>
        <w:t>differences in protocols. New information is highlighted in italics)</w:t>
      </w:r>
    </w:p>
    <w:p w14:paraId="1E0D7D25" w14:textId="77777777" w:rsidR="00000000" w:rsidRDefault="00955F6B">
      <w:pPr>
        <w:pStyle w:val="NormalWeb"/>
      </w:pPr>
      <w:r>
        <w:rPr>
          <w:b/>
        </w:rPr>
        <w:t xml:space="preserve">1. Site description: </w:t>
      </w:r>
      <w:r>
        <w:t>Within the 20 ha study area there are 24 experimental plots. Each plot has an area of 0.25 ha and is fenced to regulate rodent access to the plot. Rodent treatments i</w:t>
      </w:r>
      <w:r>
        <w:t>nclude controls, kangaroo rat removal, and rodent removal. The ant community, which is also predominately granivorous, is also manipulated. Ant treatments include controls and ant removals. After 1980, poisoning was conducted with AMDRO [American Cyanamide</w:t>
      </w:r>
      <w:r>
        <w:t xml:space="preserve"> Company] (Davidson et al 1985).</w:t>
      </w:r>
    </w:p>
    <w:p w14:paraId="0686C4EB" w14:textId="77777777" w:rsidR="00000000" w:rsidRDefault="00955F6B">
      <w:pPr>
        <w:pStyle w:val="NormalWeb"/>
      </w:pPr>
      <w:r>
        <w:t>On each plot there are 49 permanent stations marked by rebar stakes forming a 7x7 grid. Rows are numbered 1-7 going from the most northern row to the most southern. Columns are numbered 1-7 going from the most western colum</w:t>
      </w:r>
      <w:r>
        <w:t xml:space="preserve">n to the most eastern. Every stake on a plot has a unique identifying number denoting the coordinate of that stake on that plot. For example, stake 13 is the third stake on the first row (see </w:t>
      </w:r>
      <w:r>
        <w:rPr>
          <w:i/>
        </w:rPr>
        <w:t>Portal_overview_metadata.html</w:t>
      </w:r>
      <w:r>
        <w:t xml:space="preserve">, Fig 1). </w:t>
      </w:r>
      <w:r>
        <w:rPr>
          <w:i/>
        </w:rPr>
        <w:t xml:space="preserve">Starting in 2005, stakes </w:t>
      </w:r>
      <w:r>
        <w:rPr>
          <w:i/>
        </w:rPr>
        <w:t>15 – 17 and 27 were no longer censused in plot 24. Changes to plot shape resulted in all or part of the circular quadrats being outside the plot</w:t>
      </w:r>
      <w:r>
        <w:t xml:space="preserve">. </w:t>
      </w:r>
    </w:p>
    <w:p w14:paraId="7B3D21FE" w14:textId="77777777" w:rsidR="00000000" w:rsidRDefault="00955F6B">
      <w:pPr>
        <w:pStyle w:val="NormalWeb"/>
      </w:pPr>
      <w:r>
        <w:rPr>
          <w:b/>
        </w:rPr>
        <w:lastRenderedPageBreak/>
        <w:t xml:space="preserve">Treatments: </w:t>
      </w:r>
      <w:r>
        <w:t xml:space="preserve">See </w:t>
      </w:r>
      <w:r>
        <w:rPr>
          <w:i/>
        </w:rPr>
        <w:t>Portal_overview_metadata.html</w:t>
      </w:r>
      <w:r>
        <w:t>, Table 1, for details on treatment assignments for each plot. S</w:t>
      </w:r>
      <w:r>
        <w:t>ee the previous data publication (Ernest et al 2009) for a history of ant treatments and methods.</w:t>
      </w:r>
    </w:p>
    <w:p w14:paraId="734DF712" w14:textId="77777777" w:rsidR="00000000" w:rsidRDefault="00955F6B">
      <w:pPr>
        <w:pStyle w:val="NormalWeb"/>
        <w:rPr>
          <w:b/>
          <w:i/>
        </w:rPr>
      </w:pPr>
      <w:r>
        <w:rPr>
          <w:b/>
        </w:rPr>
        <w:t xml:space="preserve">Data Collection Period, Frequency: </w:t>
      </w:r>
      <w:r>
        <w:t xml:space="preserve">Census of the ant community occurred every year over a two week period during July after the summer monsoons have begun. </w:t>
      </w:r>
      <w:r>
        <w:rPr>
          <w:i/>
        </w:rPr>
        <w:t>Da</w:t>
      </w:r>
      <w:r>
        <w:rPr>
          <w:i/>
        </w:rPr>
        <w:t>ta collection ended in 2009.</w:t>
      </w:r>
    </w:p>
    <w:p w14:paraId="110C59AA" w14:textId="77777777" w:rsidR="00000000" w:rsidRDefault="00955F6B">
      <w:pPr>
        <w:pStyle w:val="NormalWeb"/>
        <w:rPr>
          <w:b/>
        </w:rPr>
      </w:pPr>
      <w:r>
        <w:rPr>
          <w:b/>
        </w:rPr>
        <w:t>3. Research Methods</w:t>
      </w:r>
    </w:p>
    <w:p w14:paraId="21D8866F" w14:textId="77777777" w:rsidR="00000000" w:rsidRDefault="00955F6B">
      <w:pPr>
        <w:pStyle w:val="NormalWeb"/>
      </w:pPr>
      <w:r>
        <w:rPr>
          <w:b/>
        </w:rPr>
        <w:t>Field:</w:t>
      </w:r>
      <w:r>
        <w:t xml:space="preserve"> </w:t>
      </w:r>
      <w:r>
        <w:rPr>
          <w:i/>
        </w:rPr>
        <w:t>Bait census:</w:t>
      </w:r>
      <w:r>
        <w:t xml:space="preserve"> On each plot on one morning in July, we set 25 bait piles on each plot.  Bait piles consist of crushed millet placed on the ground in a 10 cm diameter circle.  Bait piles are placed at th</w:t>
      </w:r>
      <w:r>
        <w:t>e base of the permanent rebar stakes.  In rows 1, 3, 5, and 7 we place bait at all odd column stakes (e.g. stake 11, 13, 15, 17).  In rows 2, 4 and 6, we place bait piles at even numbered column stakes (e.g., stake 22, 24, 26).  This creates a checkerboard</w:t>
      </w:r>
      <w:r>
        <w:t xml:space="preserve"> layout of bait piles across the entire plot. Baits are established at dawn and ants are allowed to recruit to bait piles for 1.5 hours. After 1.5 hours, all bait piles are censused recording all individuals of all species within the 10 cm diameter bait ci</w:t>
      </w:r>
      <w:r>
        <w:t>rcle.</w:t>
      </w:r>
    </w:p>
    <w:p w14:paraId="0AAA023B" w14:textId="77777777" w:rsidR="00000000" w:rsidRDefault="00955F6B">
      <w:pPr>
        <w:pStyle w:val="NormalWeb"/>
      </w:pPr>
      <w:r>
        <w:rPr>
          <w:i/>
        </w:rPr>
        <w:t xml:space="preserve">Colony census: </w:t>
      </w:r>
      <w:r>
        <w:t xml:space="preserve"> We record the number of colonies and the number of colony entrances for all diurnal species within a 2 m radius circle that is centered 2 m north of each of the 49 permanent stakes. For each colony entrance, we record the species iden</w:t>
      </w:r>
      <w:r>
        <w:t xml:space="preserve">tity and determine whether any additional entrances exist within 0.5 m.  If so we define that as one colony with multiple entrances. </w:t>
      </w:r>
    </w:p>
    <w:p w14:paraId="372443DC" w14:textId="77777777" w:rsidR="00000000" w:rsidRDefault="00955F6B">
      <w:pPr>
        <w:pStyle w:val="NormalWeb"/>
      </w:pPr>
      <w:r>
        <w:lastRenderedPageBreak/>
        <w:t xml:space="preserve">Exceptions to this methodology: </w:t>
      </w:r>
    </w:p>
    <w:p w14:paraId="054C3221" w14:textId="77777777" w:rsidR="00000000" w:rsidRDefault="00955F6B">
      <w:pPr>
        <w:pStyle w:val="NormalWeb"/>
      </w:pPr>
      <w:r>
        <w:t xml:space="preserve">For all years: For </w:t>
      </w:r>
      <w:r>
        <w:rPr>
          <w:i/>
        </w:rPr>
        <w:t>Solenopsis</w:t>
      </w:r>
      <w:r>
        <w:t>, we simply recorded the presence (1) of any colony entrance</w:t>
      </w:r>
      <w:r>
        <w:t xml:space="preserve"> within the 2 m radius circle.  </w:t>
      </w:r>
    </w:p>
    <w:p w14:paraId="572BE258" w14:textId="77777777" w:rsidR="00000000" w:rsidRDefault="00955F6B">
      <w:pPr>
        <w:pStyle w:val="NormalWeb"/>
      </w:pPr>
      <w:commentRangeStart w:id="5"/>
      <w:r>
        <w:t xml:space="preserve">1977-1983: According to Davidson et al (1985), number of colony entrances within the entire 0.25 ha plot were records for the following species: </w:t>
      </w:r>
      <w:r>
        <w:rPr>
          <w:i/>
        </w:rPr>
        <w:t>Novomessor</w:t>
      </w:r>
      <w:r>
        <w:rPr>
          <w:i/>
        </w:rPr>
        <w:t>, Pheidole desertorum, Pheidole militicida, Pogonomyrmex barba</w:t>
      </w:r>
      <w:r>
        <w:rPr>
          <w:i/>
        </w:rPr>
        <w:t>tus, Pogonomyrmex maricopa, Pogonomyrmex rugosus</w:t>
      </w:r>
      <w:r>
        <w:t>. Nearest census stake was recorded for these species.</w:t>
      </w:r>
      <w:commentRangeEnd w:id="5"/>
      <w:r>
        <w:rPr>
          <w:rStyle w:val="CommentReference"/>
          <w:bCs w:val="0"/>
        </w:rPr>
        <w:commentReference w:id="5"/>
      </w:r>
    </w:p>
    <w:p w14:paraId="49973950" w14:textId="77777777" w:rsidR="00000000" w:rsidRDefault="00955F6B">
      <w:pPr>
        <w:pStyle w:val="NormalWeb"/>
      </w:pPr>
      <w:r>
        <w:t xml:space="preserve">1988-2009: For </w:t>
      </w:r>
      <w:r>
        <w:rPr>
          <w:i/>
        </w:rPr>
        <w:t xml:space="preserve">Novomessor </w:t>
      </w:r>
      <w:r>
        <w:t>and</w:t>
      </w:r>
      <w:r>
        <w:rPr>
          <w:i/>
        </w:rPr>
        <w:t xml:space="preserve"> Pogonomyrmex rugosus</w:t>
      </w:r>
      <w:r>
        <w:t>, we counted the number of all colony entrances within the entire 0.25 ha plot. Records in the data</w:t>
      </w:r>
      <w:r>
        <w:t>base for these species</w:t>
      </w:r>
      <w:r>
        <w:rPr>
          <w:i/>
        </w:rPr>
        <w:t xml:space="preserve"> </w:t>
      </w:r>
      <w:r>
        <w:t xml:space="preserve">are the number of colony entrances closest to each stake. </w:t>
      </w:r>
    </w:p>
    <w:p w14:paraId="497E88C1" w14:textId="77777777" w:rsidR="00000000" w:rsidRDefault="00955F6B">
      <w:pPr>
        <w:pStyle w:val="NormalWeb"/>
      </w:pPr>
      <w:r>
        <w:t>1984-1987: It is currently unclear whether the data from 1984-1987 follows the 1977-1983 protocol for full plot surveys or the 1988-2009 protocol. Given documentation found r</w:t>
      </w:r>
      <w:r>
        <w:t>eferring to the ant census during this time, we suspect protocols were in-line with 1988-2009, but cannot say with certainty.</w:t>
      </w:r>
    </w:p>
    <w:p w14:paraId="16513406" w14:textId="77777777" w:rsidR="00000000" w:rsidRDefault="00955F6B">
      <w:pPr>
        <w:pStyle w:val="NormalWeb"/>
      </w:pPr>
      <w:r>
        <w:rPr>
          <w:b/>
        </w:rPr>
        <w:t>Taxonomy and systematics:</w:t>
      </w:r>
      <w:r>
        <w:t xml:space="preserve"> Bolton, B. 1995. A new general catalogue of the ants of the world. Harvard University Press.</w:t>
      </w:r>
    </w:p>
    <w:p w14:paraId="444590D6" w14:textId="77777777" w:rsidR="00000000" w:rsidRDefault="00955F6B">
      <w:pPr>
        <w:pStyle w:val="NormalWeb"/>
      </w:pPr>
      <w:r>
        <w:rPr>
          <w:b/>
        </w:rPr>
        <w:t xml:space="preserve">4. Project </w:t>
      </w:r>
      <w:r>
        <w:rPr>
          <w:b/>
        </w:rPr>
        <w:t>personnel:</w:t>
      </w:r>
      <w:r>
        <w:t xml:space="preserve">  Our estimate of the number of people who have assisted with the ant census is currently over 75. Many of these people assisted on a volunteer basis and this work would not have been possible without their help. </w:t>
      </w:r>
    </w:p>
    <w:p w14:paraId="3BD24699" w14:textId="77777777" w:rsidR="00000000" w:rsidRDefault="00955F6B">
      <w:pPr>
        <w:pStyle w:val="Heading1"/>
        <w:rPr>
          <w:rFonts w:eastAsia="Times New Roman"/>
        </w:rPr>
      </w:pPr>
      <w:r>
        <w:rPr>
          <w:rFonts w:eastAsia="Times New Roman"/>
        </w:rPr>
        <w:lastRenderedPageBreak/>
        <w:t>CLASS III. DATA SET STATUS AND A</w:t>
      </w:r>
      <w:r>
        <w:rPr>
          <w:rFonts w:eastAsia="Times New Roman"/>
        </w:rPr>
        <w:t>CCESSIBILITY</w:t>
      </w:r>
    </w:p>
    <w:p w14:paraId="0CEB21CB" w14:textId="77777777" w:rsidR="00000000" w:rsidRDefault="00955F6B">
      <w:pPr>
        <w:pStyle w:val="NormalWeb"/>
      </w:pPr>
      <w:r>
        <w:t>A. Status</w:t>
      </w:r>
    </w:p>
    <w:p w14:paraId="337C23CA" w14:textId="77777777" w:rsidR="00000000" w:rsidRDefault="00955F6B">
      <w:pPr>
        <w:pStyle w:val="NormalWeb"/>
      </w:pPr>
      <w:r>
        <w:t>Latest Update: July 2009</w:t>
      </w:r>
    </w:p>
    <w:p w14:paraId="3C75DB51" w14:textId="77777777" w:rsidR="00000000" w:rsidRDefault="00955F6B">
      <w:pPr>
        <w:pStyle w:val="NormalWeb"/>
      </w:pPr>
      <w:r>
        <w:t>Latest Archive date: July 2009</w:t>
      </w:r>
    </w:p>
    <w:p w14:paraId="106B9197" w14:textId="77777777" w:rsidR="00000000" w:rsidRDefault="00955F6B">
      <w:pPr>
        <w:pStyle w:val="NormalWeb"/>
      </w:pPr>
      <w:r>
        <w:rPr>
          <w:b/>
        </w:rPr>
        <w:t>Metadata status</w:t>
      </w:r>
      <w:r>
        <w:t>: The metadata are complete and up to date.</w:t>
      </w:r>
    </w:p>
    <w:p w14:paraId="09BCF532" w14:textId="77777777" w:rsidR="00000000" w:rsidRDefault="00955F6B">
      <w:pPr>
        <w:pStyle w:val="NormalWeb"/>
        <w:rPr>
          <w:b/>
        </w:rPr>
      </w:pPr>
      <w:r>
        <w:rPr>
          <w:b/>
        </w:rPr>
        <w:t xml:space="preserve">Data verification: </w:t>
      </w:r>
      <w:r>
        <w:t>Species have been sent to Dr. Michael Kaspari for independent verification. In the field, all ident</w:t>
      </w:r>
      <w:r>
        <w:t xml:space="preserve">ifications are double checked by Valone if there are any questions. </w:t>
      </w:r>
    </w:p>
    <w:p w14:paraId="31174081" w14:textId="77777777" w:rsidR="00000000" w:rsidRDefault="00955F6B">
      <w:pPr>
        <w:pStyle w:val="NormalWeb"/>
      </w:pPr>
      <w:r>
        <w:t>B. Accessibility</w:t>
      </w:r>
    </w:p>
    <w:p w14:paraId="64125753" w14:textId="77777777" w:rsidR="00000000" w:rsidRDefault="00955F6B">
      <w:pPr>
        <w:pStyle w:val="NormalWeb"/>
      </w:pPr>
      <w:r>
        <w:rPr>
          <w:b/>
        </w:rPr>
        <w:t>Storage location and medium:</w:t>
      </w:r>
      <w:r>
        <w:t xml:space="preserve"> (Ecological Society of America data archives [Ecological Archives], URL published in each issue of its journals). Original data files reside </w:t>
      </w:r>
      <w:r>
        <w:t>with Thomas J. Valone on two separate machines. Original datasheets also reside with Thomas J. Valone.</w:t>
      </w:r>
    </w:p>
    <w:p w14:paraId="2EACE96A" w14:textId="77777777" w:rsidR="00000000" w:rsidRDefault="00955F6B">
      <w:pPr>
        <w:pStyle w:val="NormalWeb"/>
      </w:pPr>
      <w:r>
        <w:rPr>
          <w:b/>
        </w:rPr>
        <w:t xml:space="preserve">Contact person: </w:t>
      </w:r>
      <w:r>
        <w:t>Thomas J. Valone, Department of Biology, Saint Louis University, Saint Louis MO 63103.  email:valone@slu.edu</w:t>
      </w:r>
    </w:p>
    <w:p w14:paraId="3A834E51" w14:textId="77777777" w:rsidR="00000000" w:rsidRDefault="00955F6B">
      <w:pPr>
        <w:pStyle w:val="NormalWeb"/>
      </w:pPr>
      <w:r>
        <w:rPr>
          <w:b/>
        </w:rPr>
        <w:t>Copyright restrictions</w:t>
      </w:r>
      <w:r>
        <w:t>: None.</w:t>
      </w:r>
    </w:p>
    <w:p w14:paraId="5A6045DA" w14:textId="77777777" w:rsidR="00000000" w:rsidRDefault="00955F6B">
      <w:pPr>
        <w:pStyle w:val="NormalWeb"/>
      </w:pPr>
      <w:r>
        <w:rPr>
          <w:b/>
        </w:rPr>
        <w:t>Proprietary restrictions:</w:t>
      </w:r>
      <w:r>
        <w:t xml:space="preserve"> None. However, we do request that authors of publications using the ant database notify Thomas J. Valone (contact information above) of publication of their study. This helps us by allowing us to make accurate reports to t</w:t>
      </w:r>
      <w:r>
        <w:t xml:space="preserve">he National Science Foundation and document that the scientific community finds the data from this study to be useful. </w:t>
      </w:r>
    </w:p>
    <w:p w14:paraId="3A64A086" w14:textId="77777777" w:rsidR="00000000" w:rsidRDefault="00955F6B">
      <w:pPr>
        <w:pStyle w:val="NormalWeb"/>
      </w:pPr>
      <w:r>
        <w:rPr>
          <w:b/>
        </w:rPr>
        <w:lastRenderedPageBreak/>
        <w:t>Costs:</w:t>
      </w:r>
      <w:r>
        <w:t xml:space="preserve"> None.</w:t>
      </w:r>
    </w:p>
    <w:p w14:paraId="416F16D6" w14:textId="77777777" w:rsidR="00000000" w:rsidRDefault="00955F6B">
      <w:pPr>
        <w:pStyle w:val="Heading1"/>
        <w:rPr>
          <w:rFonts w:eastAsia="Times New Roman"/>
        </w:rPr>
      </w:pPr>
      <w:r>
        <w:rPr>
          <w:rFonts w:eastAsia="Times New Roman"/>
        </w:rPr>
        <w:t>CLASS IV. DATA STRUCTURAL DESCRIPTORS</w:t>
      </w:r>
    </w:p>
    <w:p w14:paraId="5DCBE7A2" w14:textId="77777777" w:rsidR="00000000" w:rsidRDefault="00955F6B">
      <w:pPr>
        <w:pStyle w:val="Heading3"/>
        <w:rPr>
          <w:rFonts w:eastAsia="Times New Roman"/>
        </w:rPr>
      </w:pPr>
      <w:r>
        <w:rPr>
          <w:rFonts w:eastAsia="Times New Roman"/>
        </w:rPr>
        <w:t>ANT COLONY CENSUS</w:t>
      </w:r>
    </w:p>
    <w:p w14:paraId="72820E29" w14:textId="77777777" w:rsidR="00000000" w:rsidRDefault="00955F6B">
      <w:pPr>
        <w:pStyle w:val="NormalWeb"/>
      </w:pPr>
      <w:r>
        <w:t>A. Data Set File:</w:t>
      </w:r>
    </w:p>
    <w:p w14:paraId="026632B5" w14:textId="77777777" w:rsidR="00000000" w:rsidRDefault="00955F6B">
      <w:pPr>
        <w:pStyle w:val="NormalWeb"/>
      </w:pPr>
      <w:r>
        <w:rPr>
          <w:b/>
        </w:rPr>
        <w:t>Identity:</w:t>
      </w:r>
      <w:r>
        <w:t xml:space="preserve"> Portal_ ant_colony_19772009.csv</w:t>
      </w:r>
    </w:p>
    <w:p w14:paraId="25B40E51" w14:textId="77777777" w:rsidR="00000000" w:rsidRDefault="00955F6B">
      <w:pPr>
        <w:pStyle w:val="NormalWeb"/>
      </w:pPr>
      <w:r>
        <w:rPr>
          <w:b/>
        </w:rPr>
        <w:t>Size:</w:t>
      </w:r>
      <w:r>
        <w:t xml:space="preserve"> </w:t>
      </w:r>
      <w:r>
        <w:t>34932 rows (including header), 1088 kilobytes.</w:t>
      </w:r>
    </w:p>
    <w:p w14:paraId="0795F4A0" w14:textId="77777777" w:rsidR="00000000" w:rsidRDefault="00955F6B">
      <w:pPr>
        <w:pStyle w:val="NormalWeb"/>
      </w:pPr>
      <w:r>
        <w:rPr>
          <w:b/>
        </w:rPr>
        <w:t>Format and storage mode:</w:t>
      </w:r>
      <w:r>
        <w:t xml:space="preserve"> ASCII text, comma delimited. No compression scheme used.</w:t>
      </w:r>
    </w:p>
    <w:p w14:paraId="1ED65546" w14:textId="77777777" w:rsidR="00000000" w:rsidRDefault="00955F6B">
      <w:pPr>
        <w:pStyle w:val="NormalWeb"/>
      </w:pPr>
      <w:r>
        <w:rPr>
          <w:b/>
        </w:rPr>
        <w:t>Header information:</w:t>
      </w:r>
      <w:r>
        <w:t xml:space="preserve"> The first row of the file contains the variable names below.</w:t>
      </w:r>
    </w:p>
    <w:p w14:paraId="1F922C48" w14:textId="77777777" w:rsidR="00000000" w:rsidRDefault="00955F6B">
      <w:pPr>
        <w:pStyle w:val="NormalWeb"/>
      </w:pPr>
      <w:r>
        <w:t>Alphanumeric attributes: Mixed.</w:t>
      </w:r>
    </w:p>
    <w:p w14:paraId="45B9956E" w14:textId="77777777" w:rsidR="00000000" w:rsidRDefault="00955F6B">
      <w:pPr>
        <w:pStyle w:val="NormalWeb"/>
      </w:pPr>
      <w:r>
        <w:t>B. Variable in</w:t>
      </w:r>
      <w:r>
        <w:t>formation</w:t>
      </w:r>
    </w:p>
    <w:p w14:paraId="7BA67D8A" w14:textId="77777777" w:rsidR="00000000" w:rsidRDefault="00955F6B">
      <w:pPr>
        <w:pStyle w:val="NormalWeb"/>
      </w:pPr>
      <w:r>
        <w:rPr>
          <w:b/>
        </w:rPr>
        <w:t>Table 1</w:t>
      </w:r>
      <w:r>
        <w:t>. Column information for Portal_ant_colony_19772009.csv</w:t>
      </w:r>
    </w:p>
    <w:p w14:paraId="3D2B1C81" w14:textId="77777777" w:rsidR="00000000" w:rsidRDefault="00955F6B">
      <w:pPr>
        <w:pStyle w:val="NormalWeb"/>
      </w:pPr>
      <w:r>
        <w:t xml:space="preserve">Each row contains information on the number of colonies and colony openings counted separately for each species on a plot (the exception to this is for </w:t>
      </w:r>
      <w:r>
        <w:rPr>
          <w:i/>
        </w:rPr>
        <w:t>Solenopsis</w:t>
      </w:r>
      <w:r>
        <w:t xml:space="preserve"> species, for which o</w:t>
      </w:r>
      <w:r>
        <w:t xml:space="preserve">nly the presence of a colony was recorded (as a 1), not the number of colonies or openings). If two openings for a species were &lt; 0.5 m apart they were considered to belong to the same colony.  For </w:t>
      </w:r>
      <w:r>
        <w:rPr>
          <w:i/>
        </w:rPr>
        <w:t>Novomessor</w:t>
      </w:r>
      <w:r>
        <w:t>, we sample the entire 0.25 ha plot for colonies</w:t>
      </w:r>
      <w:r>
        <w:t xml:space="preserve"> and record colony location to the nearest quadrat (stake). </w:t>
      </w:r>
    </w:p>
    <w:tbl>
      <w:tblPr>
        <w:tblW w:w="852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580"/>
        <w:gridCol w:w="1890"/>
        <w:gridCol w:w="1080"/>
        <w:gridCol w:w="2970"/>
      </w:tblGrid>
      <w:tr w:rsidR="00000000" w14:paraId="596AA009"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39F166FE" w14:textId="77777777" w:rsidR="00000000" w:rsidRDefault="00955F6B">
            <w:pPr>
              <w:pStyle w:val="NormalWeb"/>
              <w:rPr>
                <w:i/>
              </w:rPr>
            </w:pPr>
            <w:r>
              <w:rPr>
                <w:i/>
              </w:rPr>
              <w:lastRenderedPageBreak/>
              <w:t>Variable name</w:t>
            </w:r>
          </w:p>
        </w:tc>
        <w:tc>
          <w:tcPr>
            <w:tcW w:w="1890" w:type="dxa"/>
            <w:tcBorders>
              <w:top w:val="outset" w:sz="6" w:space="0" w:color="auto"/>
              <w:left w:val="outset" w:sz="6" w:space="0" w:color="auto"/>
              <w:bottom w:val="outset" w:sz="6" w:space="0" w:color="auto"/>
              <w:right w:val="outset" w:sz="6" w:space="0" w:color="auto"/>
            </w:tcBorders>
            <w:hideMark/>
          </w:tcPr>
          <w:p w14:paraId="7D08E7DA" w14:textId="77777777" w:rsidR="00000000" w:rsidRDefault="00955F6B">
            <w:pPr>
              <w:pStyle w:val="NormalWeb"/>
              <w:rPr>
                <w:i/>
              </w:rPr>
            </w:pPr>
            <w:r>
              <w:rPr>
                <w:i/>
              </w:rPr>
              <w:t>Variable definition</w:t>
            </w:r>
          </w:p>
        </w:tc>
        <w:tc>
          <w:tcPr>
            <w:tcW w:w="1080" w:type="dxa"/>
            <w:tcBorders>
              <w:top w:val="outset" w:sz="6" w:space="0" w:color="auto"/>
              <w:left w:val="outset" w:sz="6" w:space="0" w:color="auto"/>
              <w:bottom w:val="outset" w:sz="6" w:space="0" w:color="auto"/>
              <w:right w:val="outset" w:sz="6" w:space="0" w:color="auto"/>
            </w:tcBorders>
            <w:hideMark/>
          </w:tcPr>
          <w:p w14:paraId="59B37E45" w14:textId="77777777" w:rsidR="00000000" w:rsidRDefault="00955F6B">
            <w:pPr>
              <w:pStyle w:val="NormalWeb"/>
              <w:rPr>
                <w:i/>
              </w:rPr>
            </w:pPr>
            <w:r>
              <w:rPr>
                <w:i/>
              </w:rPr>
              <w:t>Storage type</w:t>
            </w:r>
          </w:p>
        </w:tc>
        <w:tc>
          <w:tcPr>
            <w:tcW w:w="2970" w:type="dxa"/>
            <w:tcBorders>
              <w:top w:val="outset" w:sz="6" w:space="0" w:color="auto"/>
              <w:left w:val="outset" w:sz="6" w:space="0" w:color="auto"/>
              <w:bottom w:val="outset" w:sz="6" w:space="0" w:color="auto"/>
              <w:right w:val="outset" w:sz="6" w:space="0" w:color="auto"/>
            </w:tcBorders>
            <w:hideMark/>
          </w:tcPr>
          <w:p w14:paraId="56000272" w14:textId="77777777" w:rsidR="00000000" w:rsidRDefault="00955F6B">
            <w:pPr>
              <w:pStyle w:val="NormalWeb"/>
              <w:rPr>
                <w:i/>
              </w:rPr>
            </w:pPr>
            <w:r>
              <w:rPr>
                <w:i/>
              </w:rPr>
              <w:t>Variable codes, definitions, and notes</w:t>
            </w:r>
          </w:p>
        </w:tc>
      </w:tr>
      <w:tr w:rsidR="00000000" w14:paraId="3B723CB0"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6A8A6431" w14:textId="77777777" w:rsidR="00000000" w:rsidRDefault="00955F6B">
            <w:pPr>
              <w:pStyle w:val="NormalWeb"/>
            </w:pPr>
            <w:r>
              <w:t>Day</w:t>
            </w:r>
          </w:p>
        </w:tc>
        <w:tc>
          <w:tcPr>
            <w:tcW w:w="1890" w:type="dxa"/>
            <w:tcBorders>
              <w:top w:val="outset" w:sz="6" w:space="0" w:color="auto"/>
              <w:left w:val="outset" w:sz="6" w:space="0" w:color="auto"/>
              <w:bottom w:val="outset" w:sz="6" w:space="0" w:color="auto"/>
              <w:right w:val="outset" w:sz="6" w:space="0" w:color="auto"/>
            </w:tcBorders>
            <w:hideMark/>
          </w:tcPr>
          <w:p w14:paraId="5A328D5B" w14:textId="77777777" w:rsidR="00000000" w:rsidRDefault="00955F6B">
            <w:pPr>
              <w:pStyle w:val="NormalWeb"/>
            </w:pPr>
            <w:r>
              <w:t>Day data collected</w:t>
            </w:r>
          </w:p>
        </w:tc>
        <w:tc>
          <w:tcPr>
            <w:tcW w:w="1080" w:type="dxa"/>
            <w:tcBorders>
              <w:top w:val="outset" w:sz="6" w:space="0" w:color="auto"/>
              <w:left w:val="outset" w:sz="6" w:space="0" w:color="auto"/>
              <w:bottom w:val="outset" w:sz="6" w:space="0" w:color="auto"/>
              <w:right w:val="outset" w:sz="6" w:space="0" w:color="auto"/>
            </w:tcBorders>
            <w:hideMark/>
          </w:tcPr>
          <w:p w14:paraId="6065C8EE"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3BDA2961" w14:textId="77777777" w:rsidR="00000000" w:rsidRDefault="00955F6B">
            <w:pPr>
              <w:pStyle w:val="NormalWeb"/>
            </w:pPr>
            <w:r>
              <w:t>1-31</w:t>
            </w:r>
          </w:p>
        </w:tc>
      </w:tr>
      <w:tr w:rsidR="00000000" w14:paraId="67F7A5BD"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288F0C99" w14:textId="77777777" w:rsidR="00000000" w:rsidRDefault="00955F6B">
            <w:pPr>
              <w:pStyle w:val="NormalWeb"/>
            </w:pPr>
            <w:r>
              <w:t>Month</w:t>
            </w:r>
          </w:p>
        </w:tc>
        <w:tc>
          <w:tcPr>
            <w:tcW w:w="1890" w:type="dxa"/>
            <w:tcBorders>
              <w:top w:val="outset" w:sz="6" w:space="0" w:color="auto"/>
              <w:left w:val="outset" w:sz="6" w:space="0" w:color="auto"/>
              <w:bottom w:val="outset" w:sz="6" w:space="0" w:color="auto"/>
              <w:right w:val="outset" w:sz="6" w:space="0" w:color="auto"/>
            </w:tcBorders>
            <w:hideMark/>
          </w:tcPr>
          <w:p w14:paraId="12E30933" w14:textId="77777777" w:rsidR="00000000" w:rsidRDefault="00955F6B">
            <w:pPr>
              <w:pStyle w:val="NormalWeb"/>
            </w:pPr>
            <w:r>
              <w:t>Month data collected</w:t>
            </w:r>
          </w:p>
        </w:tc>
        <w:tc>
          <w:tcPr>
            <w:tcW w:w="1080" w:type="dxa"/>
            <w:tcBorders>
              <w:top w:val="outset" w:sz="6" w:space="0" w:color="auto"/>
              <w:left w:val="outset" w:sz="6" w:space="0" w:color="auto"/>
              <w:bottom w:val="outset" w:sz="6" w:space="0" w:color="auto"/>
              <w:right w:val="outset" w:sz="6" w:space="0" w:color="auto"/>
            </w:tcBorders>
            <w:hideMark/>
          </w:tcPr>
          <w:p w14:paraId="2AE4A52C" w14:textId="77777777" w:rsidR="00000000" w:rsidRDefault="00955F6B">
            <w:pPr>
              <w:pStyle w:val="NormalWeb"/>
            </w:pPr>
            <w:r>
              <w:t>Character</w:t>
            </w:r>
          </w:p>
        </w:tc>
        <w:tc>
          <w:tcPr>
            <w:tcW w:w="2970" w:type="dxa"/>
            <w:tcBorders>
              <w:top w:val="outset" w:sz="6" w:space="0" w:color="auto"/>
              <w:left w:val="outset" w:sz="6" w:space="0" w:color="auto"/>
              <w:bottom w:val="outset" w:sz="6" w:space="0" w:color="auto"/>
              <w:right w:val="outset" w:sz="6" w:space="0" w:color="auto"/>
            </w:tcBorders>
            <w:hideMark/>
          </w:tcPr>
          <w:p w14:paraId="20A152F1" w14:textId="77777777" w:rsidR="00000000" w:rsidRDefault="00955F6B">
            <w:pPr>
              <w:pStyle w:val="NormalWeb"/>
            </w:pPr>
            <w:r>
              <w:t>July</w:t>
            </w:r>
          </w:p>
        </w:tc>
      </w:tr>
      <w:tr w:rsidR="00000000" w14:paraId="0A50FE1C"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229E3AB9" w14:textId="77777777" w:rsidR="00000000" w:rsidRDefault="00955F6B">
            <w:pPr>
              <w:pStyle w:val="NormalWeb"/>
            </w:pPr>
            <w:r>
              <w:t>Year</w:t>
            </w:r>
          </w:p>
        </w:tc>
        <w:tc>
          <w:tcPr>
            <w:tcW w:w="1890" w:type="dxa"/>
            <w:tcBorders>
              <w:top w:val="outset" w:sz="6" w:space="0" w:color="auto"/>
              <w:left w:val="outset" w:sz="6" w:space="0" w:color="auto"/>
              <w:bottom w:val="outset" w:sz="6" w:space="0" w:color="auto"/>
              <w:right w:val="outset" w:sz="6" w:space="0" w:color="auto"/>
            </w:tcBorders>
            <w:hideMark/>
          </w:tcPr>
          <w:p w14:paraId="2B3F96BD" w14:textId="77777777" w:rsidR="00000000" w:rsidRDefault="00955F6B">
            <w:pPr>
              <w:pStyle w:val="NormalWeb"/>
            </w:pPr>
            <w:r>
              <w:t>Year data collected</w:t>
            </w:r>
          </w:p>
        </w:tc>
        <w:tc>
          <w:tcPr>
            <w:tcW w:w="1080" w:type="dxa"/>
            <w:tcBorders>
              <w:top w:val="outset" w:sz="6" w:space="0" w:color="auto"/>
              <w:left w:val="outset" w:sz="6" w:space="0" w:color="auto"/>
              <w:bottom w:val="outset" w:sz="6" w:space="0" w:color="auto"/>
              <w:right w:val="outset" w:sz="6" w:space="0" w:color="auto"/>
            </w:tcBorders>
            <w:hideMark/>
          </w:tcPr>
          <w:p w14:paraId="418687BC"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6111FE2D" w14:textId="77777777" w:rsidR="00000000" w:rsidRDefault="00955F6B">
            <w:pPr>
              <w:pStyle w:val="NormalWeb"/>
            </w:pPr>
            <w:r>
              <w:t>1977-2009</w:t>
            </w:r>
          </w:p>
        </w:tc>
      </w:tr>
      <w:tr w:rsidR="00000000" w14:paraId="7C303D95"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60313204" w14:textId="77777777" w:rsidR="00000000" w:rsidRDefault="00955F6B">
            <w:pPr>
              <w:pStyle w:val="NormalWeb"/>
            </w:pPr>
            <w:r>
              <w:t>Plot</w:t>
            </w:r>
          </w:p>
        </w:tc>
        <w:tc>
          <w:tcPr>
            <w:tcW w:w="1890" w:type="dxa"/>
            <w:tcBorders>
              <w:top w:val="outset" w:sz="6" w:space="0" w:color="auto"/>
              <w:left w:val="outset" w:sz="6" w:space="0" w:color="auto"/>
              <w:bottom w:val="outset" w:sz="6" w:space="0" w:color="auto"/>
              <w:right w:val="outset" w:sz="6" w:space="0" w:color="auto"/>
            </w:tcBorders>
            <w:hideMark/>
          </w:tcPr>
          <w:p w14:paraId="5A58A5FC" w14:textId="77777777" w:rsidR="00000000" w:rsidRDefault="00955F6B">
            <w:pPr>
              <w:pStyle w:val="NormalWeb"/>
            </w:pPr>
            <w:r>
              <w:t>Plot number where data collected</w:t>
            </w:r>
          </w:p>
        </w:tc>
        <w:tc>
          <w:tcPr>
            <w:tcW w:w="1080" w:type="dxa"/>
            <w:tcBorders>
              <w:top w:val="outset" w:sz="6" w:space="0" w:color="auto"/>
              <w:left w:val="outset" w:sz="6" w:space="0" w:color="auto"/>
              <w:bottom w:val="outset" w:sz="6" w:space="0" w:color="auto"/>
              <w:right w:val="outset" w:sz="6" w:space="0" w:color="auto"/>
            </w:tcBorders>
            <w:hideMark/>
          </w:tcPr>
          <w:p w14:paraId="15E488EB"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7B656713" w14:textId="77777777" w:rsidR="00000000" w:rsidRDefault="00955F6B">
            <w:pPr>
              <w:pStyle w:val="NormalWeb"/>
            </w:pPr>
            <w:r>
              <w:t>1-24</w:t>
            </w:r>
          </w:p>
        </w:tc>
      </w:tr>
      <w:tr w:rsidR="00000000" w14:paraId="55F46958"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61B77CBB" w14:textId="77777777" w:rsidR="00000000" w:rsidRDefault="00955F6B">
            <w:pPr>
              <w:pStyle w:val="NormalWeb"/>
            </w:pPr>
            <w:r>
              <w:t>Stake</w:t>
            </w:r>
          </w:p>
        </w:tc>
        <w:tc>
          <w:tcPr>
            <w:tcW w:w="1890" w:type="dxa"/>
            <w:tcBorders>
              <w:top w:val="outset" w:sz="6" w:space="0" w:color="auto"/>
              <w:left w:val="outset" w:sz="6" w:space="0" w:color="auto"/>
              <w:bottom w:val="outset" w:sz="6" w:space="0" w:color="auto"/>
              <w:right w:val="outset" w:sz="6" w:space="0" w:color="auto"/>
            </w:tcBorders>
            <w:hideMark/>
          </w:tcPr>
          <w:p w14:paraId="5738F8A9" w14:textId="77777777" w:rsidR="00000000" w:rsidRDefault="00955F6B">
            <w:pPr>
              <w:pStyle w:val="NormalWeb"/>
            </w:pPr>
            <w:r>
              <w:t>Stake number where data collected</w:t>
            </w:r>
          </w:p>
        </w:tc>
        <w:tc>
          <w:tcPr>
            <w:tcW w:w="1080" w:type="dxa"/>
            <w:tcBorders>
              <w:top w:val="outset" w:sz="6" w:space="0" w:color="auto"/>
              <w:left w:val="outset" w:sz="6" w:space="0" w:color="auto"/>
              <w:bottom w:val="outset" w:sz="6" w:space="0" w:color="auto"/>
              <w:right w:val="outset" w:sz="6" w:space="0" w:color="auto"/>
            </w:tcBorders>
            <w:hideMark/>
          </w:tcPr>
          <w:p w14:paraId="3FA8465C"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359FFE88" w14:textId="77777777" w:rsidR="00000000" w:rsidRDefault="00955F6B">
            <w:pPr>
              <w:pStyle w:val="NormalWeb"/>
            </w:pPr>
            <w:r>
              <w:t>-99 = missing stake number</w:t>
            </w:r>
          </w:p>
        </w:tc>
      </w:tr>
      <w:tr w:rsidR="00000000" w14:paraId="2006812D"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1C7A28D1" w14:textId="77777777" w:rsidR="00000000" w:rsidRDefault="00955F6B">
            <w:r>
              <w:t>Species</w:t>
            </w:r>
          </w:p>
        </w:tc>
        <w:tc>
          <w:tcPr>
            <w:tcW w:w="1890" w:type="dxa"/>
            <w:tcBorders>
              <w:top w:val="outset" w:sz="6" w:space="0" w:color="auto"/>
              <w:left w:val="outset" w:sz="6" w:space="0" w:color="auto"/>
              <w:bottom w:val="outset" w:sz="6" w:space="0" w:color="auto"/>
              <w:right w:val="outset" w:sz="6" w:space="0" w:color="auto"/>
            </w:tcBorders>
            <w:hideMark/>
          </w:tcPr>
          <w:p w14:paraId="157C9738" w14:textId="77777777" w:rsidR="00000000" w:rsidRDefault="00955F6B">
            <w:pPr>
              <w:pStyle w:val="NormalWeb"/>
            </w:pPr>
            <w:r>
              <w:t>Species code</w:t>
            </w:r>
          </w:p>
        </w:tc>
        <w:tc>
          <w:tcPr>
            <w:tcW w:w="1080" w:type="dxa"/>
            <w:tcBorders>
              <w:top w:val="outset" w:sz="6" w:space="0" w:color="auto"/>
              <w:left w:val="outset" w:sz="6" w:space="0" w:color="auto"/>
              <w:bottom w:val="outset" w:sz="6" w:space="0" w:color="auto"/>
              <w:right w:val="outset" w:sz="6" w:space="0" w:color="auto"/>
            </w:tcBorders>
            <w:hideMark/>
          </w:tcPr>
          <w:p w14:paraId="67C20925"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19E5CD6D" w14:textId="77777777" w:rsidR="00000000" w:rsidRDefault="00955F6B">
            <w:pPr>
              <w:pStyle w:val="NormalWeb"/>
            </w:pPr>
            <w:r>
              <w:t>See Table 3 for species codes</w:t>
            </w:r>
          </w:p>
        </w:tc>
      </w:tr>
      <w:tr w:rsidR="00000000" w14:paraId="220731CB"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34966621" w14:textId="77777777" w:rsidR="00000000" w:rsidRDefault="00955F6B">
            <w:r>
              <w:t>Colonies</w:t>
            </w:r>
          </w:p>
        </w:tc>
        <w:tc>
          <w:tcPr>
            <w:tcW w:w="1890" w:type="dxa"/>
            <w:tcBorders>
              <w:top w:val="outset" w:sz="6" w:space="0" w:color="auto"/>
              <w:left w:val="outset" w:sz="6" w:space="0" w:color="auto"/>
              <w:bottom w:val="outset" w:sz="6" w:space="0" w:color="auto"/>
              <w:right w:val="outset" w:sz="6" w:space="0" w:color="auto"/>
            </w:tcBorders>
            <w:hideMark/>
          </w:tcPr>
          <w:p w14:paraId="08D8BE1C" w14:textId="77777777" w:rsidR="00000000" w:rsidRDefault="00955F6B">
            <w:pPr>
              <w:pStyle w:val="NormalWeb"/>
            </w:pPr>
            <w:r>
              <w:t>Colonies located in the census area</w:t>
            </w:r>
          </w:p>
        </w:tc>
        <w:tc>
          <w:tcPr>
            <w:tcW w:w="1080" w:type="dxa"/>
            <w:tcBorders>
              <w:top w:val="outset" w:sz="6" w:space="0" w:color="auto"/>
              <w:left w:val="outset" w:sz="6" w:space="0" w:color="auto"/>
              <w:bottom w:val="outset" w:sz="6" w:space="0" w:color="auto"/>
              <w:right w:val="outset" w:sz="6" w:space="0" w:color="auto"/>
            </w:tcBorders>
            <w:hideMark/>
          </w:tcPr>
          <w:p w14:paraId="7E01DB89"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tcPr>
          <w:p w14:paraId="28500CC9" w14:textId="77777777" w:rsidR="00000000" w:rsidRDefault="00955F6B">
            <w:pPr>
              <w:pStyle w:val="NormalWeb"/>
            </w:pPr>
          </w:p>
        </w:tc>
      </w:tr>
      <w:tr w:rsidR="00000000" w14:paraId="6F0CC489"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090E0A1F" w14:textId="77777777" w:rsidR="00000000" w:rsidRDefault="00955F6B">
            <w:r>
              <w:t>Openings</w:t>
            </w:r>
          </w:p>
        </w:tc>
        <w:tc>
          <w:tcPr>
            <w:tcW w:w="1890" w:type="dxa"/>
            <w:tcBorders>
              <w:top w:val="outset" w:sz="6" w:space="0" w:color="auto"/>
              <w:left w:val="outset" w:sz="6" w:space="0" w:color="auto"/>
              <w:bottom w:val="outset" w:sz="6" w:space="0" w:color="auto"/>
              <w:right w:val="outset" w:sz="6" w:space="0" w:color="auto"/>
            </w:tcBorders>
            <w:hideMark/>
          </w:tcPr>
          <w:p w14:paraId="7AA704C6" w14:textId="77777777" w:rsidR="00000000" w:rsidRDefault="00955F6B">
            <w:pPr>
              <w:pStyle w:val="NormalWeb"/>
            </w:pPr>
            <w:r>
              <w:t>Total colony openings located in the census area</w:t>
            </w:r>
          </w:p>
        </w:tc>
        <w:tc>
          <w:tcPr>
            <w:tcW w:w="1080" w:type="dxa"/>
            <w:tcBorders>
              <w:top w:val="outset" w:sz="6" w:space="0" w:color="auto"/>
              <w:left w:val="outset" w:sz="6" w:space="0" w:color="auto"/>
              <w:bottom w:val="outset" w:sz="6" w:space="0" w:color="auto"/>
              <w:right w:val="outset" w:sz="6" w:space="0" w:color="auto"/>
            </w:tcBorders>
            <w:hideMark/>
          </w:tcPr>
          <w:p w14:paraId="746F2500"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66EB619D" w14:textId="77777777" w:rsidR="00000000" w:rsidRDefault="00955F6B">
            <w:pPr>
              <w:pStyle w:val="NormalWeb"/>
            </w:pPr>
            <w:r>
              <w:t>-99 = when only presence was recorded (</w:t>
            </w:r>
            <w:r>
              <w:rPr>
                <w:i/>
              </w:rPr>
              <w:t>Solenopsis</w:t>
            </w:r>
            <w:r>
              <w:t>)</w:t>
            </w:r>
          </w:p>
        </w:tc>
      </w:tr>
      <w:tr w:rsidR="00000000" w14:paraId="12F21983" w14:textId="77777777">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14:paraId="57DCA950" w14:textId="77777777" w:rsidR="00000000" w:rsidRDefault="00955F6B">
            <w:r>
              <w:lastRenderedPageBreak/>
              <w:t>Flag</w:t>
            </w:r>
          </w:p>
        </w:tc>
        <w:tc>
          <w:tcPr>
            <w:tcW w:w="1890" w:type="dxa"/>
            <w:tcBorders>
              <w:top w:val="outset" w:sz="6" w:space="0" w:color="auto"/>
              <w:left w:val="outset" w:sz="6" w:space="0" w:color="auto"/>
              <w:bottom w:val="outset" w:sz="6" w:space="0" w:color="auto"/>
              <w:right w:val="outset" w:sz="6" w:space="0" w:color="auto"/>
            </w:tcBorders>
            <w:hideMark/>
          </w:tcPr>
          <w:p w14:paraId="4758517B" w14:textId="77777777" w:rsidR="00000000" w:rsidRDefault="00955F6B">
            <w:pPr>
              <w:pStyle w:val="NormalWeb"/>
            </w:pPr>
            <w:r>
              <w:t>Data flagged for quality issues</w:t>
            </w:r>
          </w:p>
        </w:tc>
        <w:tc>
          <w:tcPr>
            <w:tcW w:w="1080" w:type="dxa"/>
            <w:tcBorders>
              <w:top w:val="outset" w:sz="6" w:space="0" w:color="auto"/>
              <w:left w:val="outset" w:sz="6" w:space="0" w:color="auto"/>
              <w:bottom w:val="outset" w:sz="6" w:space="0" w:color="auto"/>
              <w:right w:val="outset" w:sz="6" w:space="0" w:color="auto"/>
            </w:tcBorders>
            <w:hideMark/>
          </w:tcPr>
          <w:p w14:paraId="223AB959" w14:textId="77777777" w:rsidR="00000000" w:rsidRDefault="00955F6B">
            <w:pPr>
              <w:pStyle w:val="NormalWeb"/>
            </w:pPr>
            <w:r>
              <w:t>Integer</w:t>
            </w:r>
          </w:p>
        </w:tc>
        <w:tc>
          <w:tcPr>
            <w:tcW w:w="2970" w:type="dxa"/>
            <w:tcBorders>
              <w:top w:val="outset" w:sz="6" w:space="0" w:color="auto"/>
              <w:left w:val="outset" w:sz="6" w:space="0" w:color="auto"/>
              <w:bottom w:val="outset" w:sz="6" w:space="0" w:color="auto"/>
              <w:right w:val="outset" w:sz="6" w:space="0" w:color="auto"/>
            </w:tcBorders>
            <w:hideMark/>
          </w:tcPr>
          <w:p w14:paraId="41E540C2" w14:textId="77777777" w:rsidR="00000000" w:rsidRDefault="00955F6B">
            <w:pPr>
              <w:pStyle w:val="NormalWeb"/>
            </w:pPr>
            <w:r>
              <w:t>1 – 11, see Table 4 for key to flagged data</w:t>
            </w:r>
          </w:p>
        </w:tc>
      </w:tr>
    </w:tbl>
    <w:p w14:paraId="6CC9718E" w14:textId="77777777" w:rsidR="00000000" w:rsidRDefault="00955F6B">
      <w:pPr>
        <w:pStyle w:val="NormalWeb"/>
      </w:pPr>
    </w:p>
    <w:p w14:paraId="071652EB" w14:textId="77777777" w:rsidR="00000000" w:rsidRDefault="00955F6B">
      <w:pPr>
        <w:pStyle w:val="Heading3"/>
        <w:rPr>
          <w:rFonts w:eastAsia="Times New Roman"/>
        </w:rPr>
      </w:pPr>
      <w:r>
        <w:rPr>
          <w:rFonts w:eastAsia="Times New Roman"/>
        </w:rPr>
        <w:t>ANT BAIT CENSUS</w:t>
      </w:r>
    </w:p>
    <w:p w14:paraId="7E77BE6F" w14:textId="77777777" w:rsidR="00000000" w:rsidRDefault="00955F6B">
      <w:pPr>
        <w:pStyle w:val="NormalWeb"/>
      </w:pPr>
      <w:r>
        <w:t>A. Data Set File:</w:t>
      </w:r>
    </w:p>
    <w:p w14:paraId="52D1A9F3" w14:textId="77777777" w:rsidR="00000000" w:rsidRDefault="00955F6B">
      <w:pPr>
        <w:pStyle w:val="NormalWeb"/>
      </w:pPr>
      <w:r>
        <w:rPr>
          <w:b/>
        </w:rPr>
        <w:t>Ide</w:t>
      </w:r>
      <w:r>
        <w:rPr>
          <w:b/>
        </w:rPr>
        <w:t>ntity:</w:t>
      </w:r>
      <w:r>
        <w:t xml:space="preserve"> Portal_ant_bait_19882009.csv</w:t>
      </w:r>
    </w:p>
    <w:p w14:paraId="5071B268" w14:textId="77777777" w:rsidR="00000000" w:rsidRDefault="00955F6B">
      <w:pPr>
        <w:pStyle w:val="NormalWeb"/>
      </w:pPr>
      <w:r>
        <w:rPr>
          <w:b/>
        </w:rPr>
        <w:t>Size:</w:t>
      </w:r>
      <w:r>
        <w:t xml:space="preserve"> 12413 rows (including header), 350 kilobytes.</w:t>
      </w:r>
    </w:p>
    <w:p w14:paraId="34D62589" w14:textId="77777777" w:rsidR="00000000" w:rsidRDefault="00955F6B">
      <w:pPr>
        <w:pStyle w:val="NormalWeb"/>
      </w:pPr>
      <w:r>
        <w:rPr>
          <w:b/>
        </w:rPr>
        <w:t>Format and storage mode:</w:t>
      </w:r>
      <w:r>
        <w:t xml:space="preserve"> ASCII text, comma delimited. No compression scheme used.</w:t>
      </w:r>
    </w:p>
    <w:p w14:paraId="166AC5E0" w14:textId="77777777" w:rsidR="00000000" w:rsidRDefault="00955F6B">
      <w:pPr>
        <w:pStyle w:val="NormalWeb"/>
      </w:pPr>
      <w:r>
        <w:rPr>
          <w:b/>
        </w:rPr>
        <w:t>Header information:</w:t>
      </w:r>
      <w:r>
        <w:t xml:space="preserve"> The first row of the file contains the variable names below.</w:t>
      </w:r>
    </w:p>
    <w:p w14:paraId="1935D255" w14:textId="77777777" w:rsidR="00000000" w:rsidRDefault="00955F6B">
      <w:pPr>
        <w:pStyle w:val="NormalWeb"/>
      </w:pPr>
      <w:r>
        <w:t>Alpha</w:t>
      </w:r>
      <w:r>
        <w:t>numeric attributes: Mixed.</w:t>
      </w:r>
    </w:p>
    <w:p w14:paraId="40D2C3F2" w14:textId="77777777" w:rsidR="00000000" w:rsidRDefault="00955F6B">
      <w:pPr>
        <w:pStyle w:val="NormalWeb"/>
      </w:pPr>
      <w:r>
        <w:t>B. Variable information</w:t>
      </w:r>
    </w:p>
    <w:p w14:paraId="70B3F62D" w14:textId="77777777" w:rsidR="00000000" w:rsidRDefault="00955F6B">
      <w:pPr>
        <w:pStyle w:val="NormalWeb"/>
      </w:pPr>
      <w:r>
        <w:t>Table 2. Column information for Portal_ant_bait_19882009.csv</w:t>
      </w:r>
    </w:p>
    <w:p w14:paraId="42F7FF54" w14:textId="77777777" w:rsidR="00000000" w:rsidRDefault="00955F6B">
      <w:pPr>
        <w:pStyle w:val="NormalWeb"/>
      </w:pPr>
      <w:r>
        <w:t>Each row contains information on the number of individuals of each species censused on a particular quadrat during a particular year.</w:t>
      </w:r>
    </w:p>
    <w:tbl>
      <w:tblPr>
        <w:tblW w:w="852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60"/>
        <w:gridCol w:w="2340"/>
        <w:gridCol w:w="1530"/>
        <w:gridCol w:w="2790"/>
      </w:tblGrid>
      <w:tr w:rsidR="00000000" w14:paraId="01B2D967"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3F0B1168" w14:textId="77777777" w:rsidR="00000000" w:rsidRDefault="00955F6B">
            <w:pPr>
              <w:pStyle w:val="NormalWeb"/>
              <w:rPr>
                <w:i/>
              </w:rPr>
            </w:pPr>
            <w:r>
              <w:rPr>
                <w:i/>
              </w:rPr>
              <w:t>Variable name</w:t>
            </w:r>
          </w:p>
        </w:tc>
        <w:tc>
          <w:tcPr>
            <w:tcW w:w="2340" w:type="dxa"/>
            <w:tcBorders>
              <w:top w:val="outset" w:sz="6" w:space="0" w:color="auto"/>
              <w:left w:val="outset" w:sz="6" w:space="0" w:color="auto"/>
              <w:bottom w:val="outset" w:sz="6" w:space="0" w:color="auto"/>
              <w:right w:val="outset" w:sz="6" w:space="0" w:color="auto"/>
            </w:tcBorders>
            <w:hideMark/>
          </w:tcPr>
          <w:p w14:paraId="26A79F18" w14:textId="77777777" w:rsidR="00000000" w:rsidRDefault="00955F6B">
            <w:pPr>
              <w:pStyle w:val="NormalWeb"/>
              <w:rPr>
                <w:i/>
              </w:rPr>
            </w:pPr>
            <w:r>
              <w:rPr>
                <w:i/>
              </w:rPr>
              <w:t>Variable definition</w:t>
            </w:r>
          </w:p>
        </w:tc>
        <w:tc>
          <w:tcPr>
            <w:tcW w:w="1530" w:type="dxa"/>
            <w:tcBorders>
              <w:top w:val="outset" w:sz="6" w:space="0" w:color="auto"/>
              <w:left w:val="outset" w:sz="6" w:space="0" w:color="auto"/>
              <w:bottom w:val="outset" w:sz="6" w:space="0" w:color="auto"/>
              <w:right w:val="outset" w:sz="6" w:space="0" w:color="auto"/>
            </w:tcBorders>
            <w:hideMark/>
          </w:tcPr>
          <w:p w14:paraId="078F2D2B" w14:textId="77777777" w:rsidR="00000000" w:rsidRDefault="00955F6B">
            <w:pPr>
              <w:pStyle w:val="NormalWeb"/>
              <w:rPr>
                <w:i/>
              </w:rPr>
            </w:pPr>
            <w:r>
              <w:rPr>
                <w:i/>
              </w:rPr>
              <w:t>Storage type</w:t>
            </w:r>
          </w:p>
        </w:tc>
        <w:tc>
          <w:tcPr>
            <w:tcW w:w="2790" w:type="dxa"/>
            <w:tcBorders>
              <w:top w:val="outset" w:sz="6" w:space="0" w:color="auto"/>
              <w:left w:val="outset" w:sz="6" w:space="0" w:color="auto"/>
              <w:bottom w:val="outset" w:sz="6" w:space="0" w:color="auto"/>
              <w:right w:val="outset" w:sz="6" w:space="0" w:color="auto"/>
            </w:tcBorders>
            <w:hideMark/>
          </w:tcPr>
          <w:p w14:paraId="1AC48F1C" w14:textId="77777777" w:rsidR="00000000" w:rsidRDefault="00955F6B">
            <w:pPr>
              <w:pStyle w:val="NormalWeb"/>
              <w:rPr>
                <w:i/>
              </w:rPr>
            </w:pPr>
            <w:r>
              <w:rPr>
                <w:i/>
              </w:rPr>
              <w:t>Variable codes, definitions, and notes</w:t>
            </w:r>
          </w:p>
        </w:tc>
      </w:tr>
      <w:tr w:rsidR="00000000" w14:paraId="404C082F"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454AE8AF" w14:textId="77777777" w:rsidR="00000000" w:rsidRDefault="00955F6B">
            <w:pPr>
              <w:pStyle w:val="NormalWeb"/>
            </w:pPr>
            <w:r>
              <w:lastRenderedPageBreak/>
              <w:t>Month</w:t>
            </w:r>
          </w:p>
        </w:tc>
        <w:tc>
          <w:tcPr>
            <w:tcW w:w="2340" w:type="dxa"/>
            <w:tcBorders>
              <w:top w:val="outset" w:sz="6" w:space="0" w:color="auto"/>
              <w:left w:val="outset" w:sz="6" w:space="0" w:color="auto"/>
              <w:bottom w:val="outset" w:sz="6" w:space="0" w:color="auto"/>
              <w:right w:val="outset" w:sz="6" w:space="0" w:color="auto"/>
            </w:tcBorders>
            <w:hideMark/>
          </w:tcPr>
          <w:p w14:paraId="65CD581E" w14:textId="77777777" w:rsidR="00000000" w:rsidRDefault="00955F6B">
            <w:pPr>
              <w:pStyle w:val="NormalWeb"/>
            </w:pPr>
            <w:r>
              <w:t>Month data collected</w:t>
            </w:r>
          </w:p>
        </w:tc>
        <w:tc>
          <w:tcPr>
            <w:tcW w:w="1530" w:type="dxa"/>
            <w:tcBorders>
              <w:top w:val="outset" w:sz="6" w:space="0" w:color="auto"/>
              <w:left w:val="outset" w:sz="6" w:space="0" w:color="auto"/>
              <w:bottom w:val="outset" w:sz="6" w:space="0" w:color="auto"/>
              <w:right w:val="outset" w:sz="6" w:space="0" w:color="auto"/>
            </w:tcBorders>
            <w:hideMark/>
          </w:tcPr>
          <w:p w14:paraId="11BA5FE0" w14:textId="77777777" w:rsidR="00000000" w:rsidRDefault="00955F6B">
            <w:pPr>
              <w:pStyle w:val="NormalWeb"/>
            </w:pPr>
            <w:r>
              <w:t>Character</w:t>
            </w:r>
          </w:p>
        </w:tc>
        <w:tc>
          <w:tcPr>
            <w:tcW w:w="2790" w:type="dxa"/>
            <w:tcBorders>
              <w:top w:val="outset" w:sz="6" w:space="0" w:color="auto"/>
              <w:left w:val="outset" w:sz="6" w:space="0" w:color="auto"/>
              <w:bottom w:val="outset" w:sz="6" w:space="0" w:color="auto"/>
              <w:right w:val="outset" w:sz="6" w:space="0" w:color="auto"/>
            </w:tcBorders>
            <w:hideMark/>
          </w:tcPr>
          <w:p w14:paraId="35FCDA36" w14:textId="77777777" w:rsidR="00000000" w:rsidRDefault="00955F6B">
            <w:pPr>
              <w:pStyle w:val="NormalWeb"/>
            </w:pPr>
            <w:r>
              <w:t>July</w:t>
            </w:r>
          </w:p>
        </w:tc>
      </w:tr>
      <w:tr w:rsidR="00000000" w14:paraId="2B019261"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3FE2C040" w14:textId="77777777" w:rsidR="00000000" w:rsidRDefault="00955F6B">
            <w:pPr>
              <w:pStyle w:val="NormalWeb"/>
            </w:pPr>
            <w:r>
              <w:t>Year</w:t>
            </w:r>
          </w:p>
        </w:tc>
        <w:tc>
          <w:tcPr>
            <w:tcW w:w="2340" w:type="dxa"/>
            <w:tcBorders>
              <w:top w:val="outset" w:sz="6" w:space="0" w:color="auto"/>
              <w:left w:val="outset" w:sz="6" w:space="0" w:color="auto"/>
              <w:bottom w:val="outset" w:sz="6" w:space="0" w:color="auto"/>
              <w:right w:val="outset" w:sz="6" w:space="0" w:color="auto"/>
            </w:tcBorders>
            <w:hideMark/>
          </w:tcPr>
          <w:p w14:paraId="78F63488" w14:textId="77777777" w:rsidR="00000000" w:rsidRDefault="00955F6B">
            <w:pPr>
              <w:pStyle w:val="NormalWeb"/>
            </w:pPr>
            <w:r>
              <w:t>Year data collected</w:t>
            </w:r>
          </w:p>
        </w:tc>
        <w:tc>
          <w:tcPr>
            <w:tcW w:w="1530" w:type="dxa"/>
            <w:tcBorders>
              <w:top w:val="outset" w:sz="6" w:space="0" w:color="auto"/>
              <w:left w:val="outset" w:sz="6" w:space="0" w:color="auto"/>
              <w:bottom w:val="outset" w:sz="6" w:space="0" w:color="auto"/>
              <w:right w:val="outset" w:sz="6" w:space="0" w:color="auto"/>
            </w:tcBorders>
            <w:hideMark/>
          </w:tcPr>
          <w:p w14:paraId="184A4B15" w14:textId="77777777" w:rsidR="00000000" w:rsidRDefault="00955F6B">
            <w:pPr>
              <w:pStyle w:val="NormalWeb"/>
            </w:pPr>
            <w:r>
              <w:t>Integer</w:t>
            </w:r>
          </w:p>
        </w:tc>
        <w:tc>
          <w:tcPr>
            <w:tcW w:w="2790" w:type="dxa"/>
            <w:tcBorders>
              <w:top w:val="outset" w:sz="6" w:space="0" w:color="auto"/>
              <w:left w:val="outset" w:sz="6" w:space="0" w:color="auto"/>
              <w:bottom w:val="outset" w:sz="6" w:space="0" w:color="auto"/>
              <w:right w:val="outset" w:sz="6" w:space="0" w:color="auto"/>
            </w:tcBorders>
            <w:hideMark/>
          </w:tcPr>
          <w:p w14:paraId="752F19E6" w14:textId="77777777" w:rsidR="00000000" w:rsidRDefault="00955F6B">
            <w:pPr>
              <w:pStyle w:val="NormalWeb"/>
            </w:pPr>
            <w:r>
              <w:t>1988 – 2009</w:t>
            </w:r>
          </w:p>
        </w:tc>
      </w:tr>
      <w:tr w:rsidR="00000000" w14:paraId="5EC9D91B"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76595699" w14:textId="77777777" w:rsidR="00000000" w:rsidRDefault="00955F6B">
            <w:pPr>
              <w:pStyle w:val="NormalWeb"/>
            </w:pPr>
            <w:r>
              <w:t>Plot</w:t>
            </w:r>
          </w:p>
        </w:tc>
        <w:tc>
          <w:tcPr>
            <w:tcW w:w="2340" w:type="dxa"/>
            <w:tcBorders>
              <w:top w:val="outset" w:sz="6" w:space="0" w:color="auto"/>
              <w:left w:val="outset" w:sz="6" w:space="0" w:color="auto"/>
              <w:bottom w:val="outset" w:sz="6" w:space="0" w:color="auto"/>
              <w:right w:val="outset" w:sz="6" w:space="0" w:color="auto"/>
            </w:tcBorders>
            <w:hideMark/>
          </w:tcPr>
          <w:p w14:paraId="5C5C10BC" w14:textId="77777777" w:rsidR="00000000" w:rsidRDefault="00955F6B">
            <w:pPr>
              <w:pStyle w:val="NormalWeb"/>
            </w:pPr>
            <w:r>
              <w:t>Plot number where data collected</w:t>
            </w:r>
          </w:p>
        </w:tc>
        <w:tc>
          <w:tcPr>
            <w:tcW w:w="1530" w:type="dxa"/>
            <w:tcBorders>
              <w:top w:val="outset" w:sz="6" w:space="0" w:color="auto"/>
              <w:left w:val="outset" w:sz="6" w:space="0" w:color="auto"/>
              <w:bottom w:val="outset" w:sz="6" w:space="0" w:color="auto"/>
              <w:right w:val="outset" w:sz="6" w:space="0" w:color="auto"/>
            </w:tcBorders>
            <w:hideMark/>
          </w:tcPr>
          <w:p w14:paraId="52FADE87" w14:textId="77777777" w:rsidR="00000000" w:rsidRDefault="00955F6B">
            <w:pPr>
              <w:pStyle w:val="NormalWeb"/>
            </w:pPr>
            <w:r>
              <w:t>Integer</w:t>
            </w:r>
          </w:p>
        </w:tc>
        <w:tc>
          <w:tcPr>
            <w:tcW w:w="2790" w:type="dxa"/>
            <w:tcBorders>
              <w:top w:val="outset" w:sz="6" w:space="0" w:color="auto"/>
              <w:left w:val="outset" w:sz="6" w:space="0" w:color="auto"/>
              <w:bottom w:val="outset" w:sz="6" w:space="0" w:color="auto"/>
              <w:right w:val="outset" w:sz="6" w:space="0" w:color="auto"/>
            </w:tcBorders>
            <w:hideMark/>
          </w:tcPr>
          <w:p w14:paraId="7D37BFE6" w14:textId="77777777" w:rsidR="00000000" w:rsidRDefault="00955F6B">
            <w:pPr>
              <w:pStyle w:val="NormalWeb"/>
            </w:pPr>
            <w:r>
              <w:t>1-24</w:t>
            </w:r>
          </w:p>
        </w:tc>
      </w:tr>
      <w:tr w:rsidR="00000000" w14:paraId="1C4CD653"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009AD913" w14:textId="77777777" w:rsidR="00000000" w:rsidRDefault="00955F6B">
            <w:pPr>
              <w:pStyle w:val="NormalWeb"/>
            </w:pPr>
            <w:r>
              <w:t>Stake</w:t>
            </w:r>
          </w:p>
        </w:tc>
        <w:tc>
          <w:tcPr>
            <w:tcW w:w="2340" w:type="dxa"/>
            <w:tcBorders>
              <w:top w:val="outset" w:sz="6" w:space="0" w:color="auto"/>
              <w:left w:val="outset" w:sz="6" w:space="0" w:color="auto"/>
              <w:bottom w:val="outset" w:sz="6" w:space="0" w:color="auto"/>
              <w:right w:val="outset" w:sz="6" w:space="0" w:color="auto"/>
            </w:tcBorders>
            <w:hideMark/>
          </w:tcPr>
          <w:p w14:paraId="4F864F78" w14:textId="77777777" w:rsidR="00000000" w:rsidRDefault="00955F6B">
            <w:pPr>
              <w:pStyle w:val="NormalWeb"/>
            </w:pPr>
            <w:r>
              <w:t>Stake number where data collected</w:t>
            </w:r>
          </w:p>
        </w:tc>
        <w:tc>
          <w:tcPr>
            <w:tcW w:w="1530" w:type="dxa"/>
            <w:tcBorders>
              <w:top w:val="outset" w:sz="6" w:space="0" w:color="auto"/>
              <w:left w:val="outset" w:sz="6" w:space="0" w:color="auto"/>
              <w:bottom w:val="outset" w:sz="6" w:space="0" w:color="auto"/>
              <w:right w:val="outset" w:sz="6" w:space="0" w:color="auto"/>
            </w:tcBorders>
            <w:hideMark/>
          </w:tcPr>
          <w:p w14:paraId="6EA396D1" w14:textId="77777777" w:rsidR="00000000" w:rsidRDefault="00955F6B">
            <w:pPr>
              <w:pStyle w:val="NormalWeb"/>
            </w:pPr>
            <w:r>
              <w:t>Integer</w:t>
            </w:r>
          </w:p>
        </w:tc>
        <w:tc>
          <w:tcPr>
            <w:tcW w:w="2790" w:type="dxa"/>
            <w:tcBorders>
              <w:top w:val="outset" w:sz="6" w:space="0" w:color="auto"/>
              <w:left w:val="outset" w:sz="6" w:space="0" w:color="auto"/>
              <w:bottom w:val="outset" w:sz="6" w:space="0" w:color="auto"/>
              <w:right w:val="outset" w:sz="6" w:space="0" w:color="auto"/>
            </w:tcBorders>
          </w:tcPr>
          <w:p w14:paraId="14DDCEA2" w14:textId="77777777" w:rsidR="00000000" w:rsidRDefault="00955F6B">
            <w:pPr>
              <w:pStyle w:val="NormalWeb"/>
            </w:pPr>
          </w:p>
        </w:tc>
      </w:tr>
      <w:tr w:rsidR="00000000" w14:paraId="06836B4A"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4AC6EDD7" w14:textId="77777777" w:rsidR="00000000" w:rsidRDefault="00955F6B">
            <w:pPr>
              <w:pStyle w:val="NormalWeb"/>
            </w:pPr>
            <w:r>
              <w:t>Species</w:t>
            </w:r>
          </w:p>
        </w:tc>
        <w:tc>
          <w:tcPr>
            <w:tcW w:w="2340" w:type="dxa"/>
            <w:tcBorders>
              <w:top w:val="outset" w:sz="6" w:space="0" w:color="auto"/>
              <w:left w:val="outset" w:sz="6" w:space="0" w:color="auto"/>
              <w:bottom w:val="outset" w:sz="6" w:space="0" w:color="auto"/>
              <w:right w:val="outset" w:sz="6" w:space="0" w:color="auto"/>
            </w:tcBorders>
            <w:hideMark/>
          </w:tcPr>
          <w:p w14:paraId="4C9F3A14" w14:textId="77777777" w:rsidR="00000000" w:rsidRDefault="00955F6B">
            <w:pPr>
              <w:pStyle w:val="NormalWeb"/>
            </w:pPr>
            <w:r>
              <w:t>Species code</w:t>
            </w:r>
          </w:p>
        </w:tc>
        <w:tc>
          <w:tcPr>
            <w:tcW w:w="1530" w:type="dxa"/>
            <w:tcBorders>
              <w:top w:val="outset" w:sz="6" w:space="0" w:color="auto"/>
              <w:left w:val="outset" w:sz="6" w:space="0" w:color="auto"/>
              <w:bottom w:val="outset" w:sz="6" w:space="0" w:color="auto"/>
              <w:right w:val="outset" w:sz="6" w:space="0" w:color="auto"/>
            </w:tcBorders>
            <w:hideMark/>
          </w:tcPr>
          <w:p w14:paraId="1383FD77" w14:textId="77777777" w:rsidR="00000000" w:rsidRDefault="00955F6B">
            <w:pPr>
              <w:pStyle w:val="NormalWeb"/>
            </w:pPr>
            <w:r>
              <w:t>Character</w:t>
            </w:r>
          </w:p>
        </w:tc>
        <w:tc>
          <w:tcPr>
            <w:tcW w:w="2790" w:type="dxa"/>
            <w:tcBorders>
              <w:top w:val="outset" w:sz="6" w:space="0" w:color="auto"/>
              <w:left w:val="outset" w:sz="6" w:space="0" w:color="auto"/>
              <w:bottom w:val="outset" w:sz="6" w:space="0" w:color="auto"/>
              <w:right w:val="outset" w:sz="6" w:space="0" w:color="auto"/>
            </w:tcBorders>
            <w:hideMark/>
          </w:tcPr>
          <w:p w14:paraId="499F7CCC" w14:textId="77777777" w:rsidR="00000000" w:rsidRDefault="00955F6B">
            <w:r>
              <w:t>See Table 4 for species codes and scientific names.</w:t>
            </w:r>
          </w:p>
        </w:tc>
      </w:tr>
      <w:tr w:rsidR="00000000" w14:paraId="5FD329A6" w14:textId="77777777">
        <w:trPr>
          <w:tblCellSpacing w:w="0" w:type="dxa"/>
        </w:trPr>
        <w:tc>
          <w:tcPr>
            <w:tcW w:w="1860" w:type="dxa"/>
            <w:tcBorders>
              <w:top w:val="outset" w:sz="6" w:space="0" w:color="auto"/>
              <w:left w:val="outset" w:sz="6" w:space="0" w:color="auto"/>
              <w:bottom w:val="outset" w:sz="6" w:space="0" w:color="auto"/>
              <w:right w:val="outset" w:sz="6" w:space="0" w:color="auto"/>
            </w:tcBorders>
            <w:hideMark/>
          </w:tcPr>
          <w:p w14:paraId="7AB7ACCD" w14:textId="77777777" w:rsidR="00000000" w:rsidRDefault="00955F6B">
            <w:pPr>
              <w:pStyle w:val="NormalWeb"/>
            </w:pPr>
            <w:r>
              <w:t>Abundance</w:t>
            </w:r>
          </w:p>
        </w:tc>
        <w:tc>
          <w:tcPr>
            <w:tcW w:w="2340" w:type="dxa"/>
            <w:tcBorders>
              <w:top w:val="outset" w:sz="6" w:space="0" w:color="auto"/>
              <w:left w:val="outset" w:sz="6" w:space="0" w:color="auto"/>
              <w:bottom w:val="outset" w:sz="6" w:space="0" w:color="auto"/>
              <w:right w:val="outset" w:sz="6" w:space="0" w:color="auto"/>
            </w:tcBorders>
            <w:hideMark/>
          </w:tcPr>
          <w:p w14:paraId="736D3A24" w14:textId="77777777" w:rsidR="00000000" w:rsidRDefault="00955F6B">
            <w:pPr>
              <w:pStyle w:val="NormalWeb"/>
            </w:pPr>
            <w:r>
              <w:t>Number of individuals</w:t>
            </w:r>
          </w:p>
        </w:tc>
        <w:tc>
          <w:tcPr>
            <w:tcW w:w="1530" w:type="dxa"/>
            <w:tcBorders>
              <w:top w:val="outset" w:sz="6" w:space="0" w:color="auto"/>
              <w:left w:val="outset" w:sz="6" w:space="0" w:color="auto"/>
              <w:bottom w:val="outset" w:sz="6" w:space="0" w:color="auto"/>
              <w:right w:val="outset" w:sz="6" w:space="0" w:color="auto"/>
            </w:tcBorders>
            <w:hideMark/>
          </w:tcPr>
          <w:p w14:paraId="405C7914" w14:textId="77777777" w:rsidR="00000000" w:rsidRDefault="00955F6B">
            <w:pPr>
              <w:pStyle w:val="NormalWeb"/>
            </w:pPr>
            <w:r>
              <w:t>Integer</w:t>
            </w:r>
          </w:p>
        </w:tc>
        <w:tc>
          <w:tcPr>
            <w:tcW w:w="2790" w:type="dxa"/>
            <w:tcBorders>
              <w:top w:val="outset" w:sz="6" w:space="0" w:color="auto"/>
              <w:left w:val="outset" w:sz="6" w:space="0" w:color="auto"/>
              <w:bottom w:val="outset" w:sz="6" w:space="0" w:color="auto"/>
              <w:right w:val="outset" w:sz="6" w:space="0" w:color="auto"/>
            </w:tcBorders>
          </w:tcPr>
          <w:p w14:paraId="369DD3CD" w14:textId="77777777" w:rsidR="00000000" w:rsidRDefault="00955F6B">
            <w:pPr>
              <w:pStyle w:val="NormalWeb"/>
            </w:pPr>
          </w:p>
        </w:tc>
      </w:tr>
    </w:tbl>
    <w:p w14:paraId="42F1BEC3" w14:textId="77777777" w:rsidR="00000000" w:rsidRDefault="00955F6B">
      <w:pPr>
        <w:pStyle w:val="NormalWeb"/>
      </w:pPr>
    </w:p>
    <w:p w14:paraId="4F30298A" w14:textId="77777777" w:rsidR="00000000" w:rsidRDefault="00955F6B">
      <w:pPr>
        <w:pStyle w:val="NormalWeb"/>
      </w:pPr>
      <w:r>
        <w:t>Table 3. Ant Species codes and scientific names</w:t>
      </w:r>
    </w:p>
    <w:tbl>
      <w:tblPr>
        <w:tblStyle w:val="TableGridLight"/>
        <w:tblW w:w="5000" w:type="pct"/>
        <w:tblInd w:w="0" w:type="dxa"/>
        <w:tblLook w:val="04A0" w:firstRow="1" w:lastRow="0" w:firstColumn="1" w:lastColumn="0" w:noHBand="0" w:noVBand="1"/>
      </w:tblPr>
      <w:tblGrid>
        <w:gridCol w:w="1556"/>
        <w:gridCol w:w="4490"/>
        <w:gridCol w:w="3304"/>
      </w:tblGrid>
      <w:tr w:rsidR="00000000" w14:paraId="30A3C0C7"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B65FCA" w14:textId="77777777" w:rsidR="00000000" w:rsidRDefault="00955F6B">
            <w:pPr>
              <w:spacing w:line="240" w:lineRule="auto"/>
              <w:rPr>
                <w:b/>
              </w:rPr>
            </w:pPr>
            <w:r>
              <w:rPr>
                <w:b/>
              </w:rPr>
              <w:t>Species Code</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8574E4" w14:textId="77777777" w:rsidR="00000000" w:rsidRDefault="00955F6B">
            <w:pPr>
              <w:spacing w:line="240" w:lineRule="auto"/>
              <w:rPr>
                <w:b/>
              </w:rPr>
            </w:pPr>
            <w:r>
              <w:rPr>
                <w:b/>
              </w:rPr>
              <w:t>Scientific Name</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E2249F" w14:textId="77777777" w:rsidR="00000000" w:rsidRDefault="00955F6B">
            <w:pPr>
              <w:spacing w:line="240" w:lineRule="auto"/>
              <w:rPr>
                <w:b/>
              </w:rPr>
            </w:pPr>
            <w:r>
              <w:rPr>
                <w:b/>
              </w:rPr>
              <w:t>ID Issue</w:t>
            </w:r>
            <w:r>
              <w:rPr>
                <w:b/>
              </w:rPr>
              <w:t>s</w:t>
            </w:r>
          </w:p>
        </w:tc>
      </w:tr>
      <w:tr w:rsidR="00000000" w14:paraId="6041125D" w14:textId="77777777">
        <w:trPr>
          <w:trHeight w:val="624"/>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27640B" w14:textId="77777777" w:rsidR="00000000" w:rsidRDefault="00955F6B">
            <w:pPr>
              <w:spacing w:line="240" w:lineRule="auto"/>
              <w:rPr>
                <w:bCs w:val="0"/>
              </w:rPr>
            </w:pPr>
            <w:r>
              <w:rPr>
                <w:bCs w:val="0"/>
              </w:rPr>
              <w:t>camp fest</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35B3FE" w14:textId="77777777" w:rsidR="00000000" w:rsidRDefault="00955F6B">
            <w:pPr>
              <w:spacing w:line="240" w:lineRule="auto"/>
              <w:rPr>
                <w:bCs w:val="0"/>
                <w:i/>
              </w:rPr>
            </w:pPr>
            <w:r>
              <w:rPr>
                <w:bCs w:val="0"/>
                <w:i/>
              </w:rPr>
              <w:t>Camponotus festinatus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6E160" w14:textId="77777777" w:rsidR="00000000" w:rsidRDefault="00955F6B">
            <w:pPr>
              <w:spacing w:line="240" w:lineRule="auto"/>
              <w:rPr>
                <w:bCs w:val="0"/>
              </w:rPr>
            </w:pPr>
            <w:r>
              <w:rPr>
                <w:bCs w:val="0"/>
              </w:rPr>
              <w:t>Unclear if in other years this was simply labeled camp sp, or if camp sp is a different species</w:t>
            </w:r>
          </w:p>
        </w:tc>
      </w:tr>
      <w:tr w:rsidR="00000000" w14:paraId="18ED9694"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6A689B" w14:textId="77777777" w:rsidR="00000000" w:rsidRDefault="00955F6B">
            <w:pPr>
              <w:spacing w:line="240" w:lineRule="auto"/>
              <w:rPr>
                <w:bCs w:val="0"/>
              </w:rPr>
            </w:pPr>
            <w:r>
              <w:rPr>
                <w:bCs w:val="0"/>
              </w:rPr>
              <w:t>camp sp</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3BCE95" w14:textId="77777777" w:rsidR="00000000" w:rsidRDefault="00955F6B">
            <w:pPr>
              <w:spacing w:line="240" w:lineRule="auto"/>
              <w:rPr>
                <w:bCs w:val="0"/>
                <w:i/>
              </w:rPr>
            </w:pPr>
            <w:r>
              <w:rPr>
                <w:bCs w:val="0"/>
                <w:i/>
              </w:rPr>
              <w:t>Camponotus sp.</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26E3" w14:textId="77777777" w:rsidR="00000000" w:rsidRDefault="00955F6B">
            <w:pPr>
              <w:spacing w:line="240" w:lineRule="auto"/>
              <w:rPr>
                <w:bCs w:val="0"/>
              </w:rPr>
            </w:pPr>
            <w:r>
              <w:rPr>
                <w:bCs w:val="0"/>
              </w:rPr>
              <w:t> </w:t>
            </w:r>
          </w:p>
        </w:tc>
      </w:tr>
      <w:tr w:rsidR="00000000" w14:paraId="1940433E"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B66383" w14:textId="77777777" w:rsidR="00000000" w:rsidRDefault="00955F6B">
            <w:pPr>
              <w:spacing w:line="240" w:lineRule="auto"/>
              <w:rPr>
                <w:bCs w:val="0"/>
              </w:rPr>
            </w:pPr>
            <w:r>
              <w:rPr>
                <w:bCs w:val="0"/>
              </w:rPr>
              <w:t>cono bico</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1477D4" w14:textId="77777777" w:rsidR="00000000" w:rsidRDefault="00955F6B">
            <w:pPr>
              <w:spacing w:line="240" w:lineRule="auto"/>
              <w:rPr>
                <w:bCs w:val="0"/>
                <w:i/>
              </w:rPr>
            </w:pPr>
            <w:r>
              <w:rPr>
                <w:bCs w:val="0"/>
                <w:i/>
              </w:rPr>
              <w:t>Conomyrma bicolor</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5AE65" w14:textId="77777777" w:rsidR="00000000" w:rsidRDefault="00955F6B">
            <w:pPr>
              <w:spacing w:line="240" w:lineRule="auto"/>
              <w:rPr>
                <w:bCs w:val="0"/>
              </w:rPr>
            </w:pPr>
            <w:r>
              <w:rPr>
                <w:bCs w:val="0"/>
              </w:rPr>
              <w:t> </w:t>
            </w:r>
          </w:p>
        </w:tc>
      </w:tr>
      <w:tr w:rsidR="00000000" w14:paraId="33C6837F"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606063" w14:textId="77777777" w:rsidR="00000000" w:rsidRDefault="00955F6B">
            <w:pPr>
              <w:spacing w:line="240" w:lineRule="auto"/>
              <w:rPr>
                <w:bCs w:val="0"/>
              </w:rPr>
            </w:pPr>
            <w:r>
              <w:rPr>
                <w:bCs w:val="0"/>
              </w:rPr>
              <w:t>cono insa</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5E9F03" w14:textId="77777777" w:rsidR="00000000" w:rsidRDefault="00955F6B">
            <w:pPr>
              <w:spacing w:line="240" w:lineRule="auto"/>
              <w:rPr>
                <w:bCs w:val="0"/>
                <w:i/>
              </w:rPr>
            </w:pPr>
            <w:r>
              <w:rPr>
                <w:bCs w:val="0"/>
                <w:i/>
              </w:rPr>
              <w:t>Conomyrma insana</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072941" w14:textId="77777777" w:rsidR="00000000" w:rsidRDefault="00955F6B">
            <w:pPr>
              <w:spacing w:line="240" w:lineRule="auto"/>
              <w:rPr>
                <w:bCs w:val="0"/>
              </w:rPr>
            </w:pPr>
            <w:r>
              <w:rPr>
                <w:bCs w:val="0"/>
              </w:rPr>
              <w:t> </w:t>
            </w:r>
          </w:p>
        </w:tc>
      </w:tr>
      <w:tr w:rsidR="00000000" w14:paraId="5901AA16"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AF73A7" w14:textId="77777777" w:rsidR="00000000" w:rsidRDefault="00955F6B">
            <w:pPr>
              <w:spacing w:line="240" w:lineRule="auto"/>
              <w:rPr>
                <w:bCs w:val="0"/>
              </w:rPr>
            </w:pPr>
            <w:r>
              <w:rPr>
                <w:bCs w:val="0"/>
              </w:rPr>
              <w:t>crem sp</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F4C9AD" w14:textId="77777777" w:rsidR="00000000" w:rsidRDefault="00955F6B">
            <w:pPr>
              <w:spacing w:line="240" w:lineRule="auto"/>
              <w:rPr>
                <w:bCs w:val="0"/>
                <w:i/>
              </w:rPr>
            </w:pPr>
            <w:r>
              <w:rPr>
                <w:bCs w:val="0"/>
                <w:i/>
              </w:rPr>
              <w:t>Crematogastor sp.</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9BCEE" w14:textId="77777777" w:rsidR="00000000" w:rsidRDefault="00955F6B">
            <w:pPr>
              <w:spacing w:line="240" w:lineRule="auto"/>
              <w:rPr>
                <w:bCs w:val="0"/>
              </w:rPr>
            </w:pPr>
            <w:r>
              <w:rPr>
                <w:bCs w:val="0"/>
              </w:rPr>
              <w:t> </w:t>
            </w:r>
          </w:p>
        </w:tc>
      </w:tr>
      <w:tr w:rsidR="00000000" w14:paraId="39514A60" w14:textId="77777777">
        <w:trPr>
          <w:trHeight w:val="624"/>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E6ED9A" w14:textId="77777777" w:rsidR="00000000" w:rsidRDefault="00955F6B">
            <w:pPr>
              <w:spacing w:line="240" w:lineRule="auto"/>
              <w:rPr>
                <w:bCs w:val="0"/>
              </w:rPr>
            </w:pPr>
            <w:r>
              <w:rPr>
                <w:bCs w:val="0"/>
              </w:rPr>
              <w:t xml:space="preserve">irid </w:t>
            </w:r>
            <w:r>
              <w:rPr>
                <w:bCs w:val="0"/>
              </w:rPr>
              <w:t>prui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35FE18" w14:textId="77777777" w:rsidR="00000000" w:rsidRDefault="00955F6B">
            <w:pPr>
              <w:spacing w:line="240" w:lineRule="auto"/>
              <w:rPr>
                <w:bCs w:val="0"/>
                <w:i/>
              </w:rPr>
            </w:pPr>
            <w:r>
              <w:rPr>
                <w:bCs w:val="0"/>
                <w:i/>
              </w:rPr>
              <w:t>Forelius pruinosus (Iridomyrma pruinosum)</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61ADB2" w14:textId="77777777" w:rsidR="00000000" w:rsidRDefault="00955F6B">
            <w:pPr>
              <w:spacing w:line="240" w:lineRule="auto"/>
              <w:rPr>
                <w:bCs w:val="0"/>
              </w:rPr>
            </w:pPr>
            <w:r>
              <w:rPr>
                <w:bCs w:val="0"/>
              </w:rPr>
              <w:t>Prior to 1987, simply labeled Dolichoderinae, may include more than this species</w:t>
            </w:r>
          </w:p>
        </w:tc>
      </w:tr>
      <w:tr w:rsidR="00000000" w14:paraId="24A5CFD5"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9F0E00" w14:textId="77777777" w:rsidR="00000000" w:rsidRDefault="00955F6B">
            <w:pPr>
              <w:spacing w:line="240" w:lineRule="auto"/>
              <w:rPr>
                <w:bCs w:val="0"/>
              </w:rPr>
            </w:pPr>
            <w:r>
              <w:rPr>
                <w:bCs w:val="0"/>
              </w:rPr>
              <w:t>myrm depi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6E920FE" w14:textId="77777777" w:rsidR="00000000" w:rsidRDefault="00955F6B">
            <w:pPr>
              <w:spacing w:line="240" w:lineRule="auto"/>
              <w:rPr>
                <w:bCs w:val="0"/>
                <w:i/>
              </w:rPr>
            </w:pPr>
            <w:r>
              <w:rPr>
                <w:bCs w:val="0"/>
                <w:i/>
              </w:rPr>
              <w:t>Myrmecocystus depilis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38804" w14:textId="77777777" w:rsidR="00000000" w:rsidRDefault="00955F6B">
            <w:pPr>
              <w:spacing w:line="240" w:lineRule="auto"/>
              <w:rPr>
                <w:bCs w:val="0"/>
              </w:rPr>
            </w:pPr>
            <w:r>
              <w:rPr>
                <w:bCs w:val="0"/>
              </w:rPr>
              <w:t> </w:t>
            </w:r>
          </w:p>
        </w:tc>
      </w:tr>
      <w:tr w:rsidR="00000000" w14:paraId="67B6CC78"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22D1B5" w14:textId="77777777" w:rsidR="00000000" w:rsidRDefault="00955F6B">
            <w:pPr>
              <w:spacing w:line="240" w:lineRule="auto"/>
              <w:rPr>
                <w:bCs w:val="0"/>
              </w:rPr>
            </w:pPr>
            <w:r>
              <w:rPr>
                <w:bCs w:val="0"/>
              </w:rPr>
              <w:t>myrm mexi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D3D07D" w14:textId="77777777" w:rsidR="00000000" w:rsidRDefault="00955F6B">
            <w:pPr>
              <w:spacing w:line="240" w:lineRule="auto"/>
              <w:rPr>
                <w:bCs w:val="0"/>
                <w:i/>
              </w:rPr>
            </w:pPr>
            <w:r>
              <w:rPr>
                <w:bCs w:val="0"/>
                <w:i/>
              </w:rPr>
              <w:t>Myrmecocystus mexicanus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22D0A" w14:textId="77777777" w:rsidR="00000000" w:rsidRDefault="00955F6B">
            <w:pPr>
              <w:spacing w:line="240" w:lineRule="auto"/>
              <w:rPr>
                <w:bCs w:val="0"/>
              </w:rPr>
            </w:pPr>
            <w:r>
              <w:rPr>
                <w:bCs w:val="0"/>
              </w:rPr>
              <w:t> </w:t>
            </w:r>
          </w:p>
        </w:tc>
      </w:tr>
      <w:tr w:rsidR="00000000" w14:paraId="348CFFAC" w14:textId="77777777">
        <w:trPr>
          <w:trHeight w:val="624"/>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CF10E6" w14:textId="77777777" w:rsidR="00000000" w:rsidRDefault="00955F6B">
            <w:pPr>
              <w:spacing w:line="240" w:lineRule="auto"/>
              <w:rPr>
                <w:bCs w:val="0"/>
              </w:rPr>
            </w:pPr>
            <w:r>
              <w:rPr>
                <w:bCs w:val="0"/>
              </w:rPr>
              <w:t>myrm mimi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C84AAE" w14:textId="77777777" w:rsidR="00000000" w:rsidRDefault="00955F6B">
            <w:pPr>
              <w:spacing w:line="240" w:lineRule="auto"/>
              <w:rPr>
                <w:bCs w:val="0"/>
                <w:i/>
              </w:rPr>
            </w:pPr>
            <w:r>
              <w:rPr>
                <w:bCs w:val="0"/>
                <w:i/>
              </w:rPr>
              <w:t>Myrmecocystus mimicus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E5CA41" w14:textId="77777777" w:rsidR="00000000" w:rsidRDefault="00955F6B">
            <w:pPr>
              <w:spacing w:line="240" w:lineRule="auto"/>
              <w:rPr>
                <w:bCs w:val="0"/>
              </w:rPr>
            </w:pPr>
            <w:r>
              <w:rPr>
                <w:bCs w:val="0"/>
              </w:rPr>
              <w:t>Prior to 1982, counts included all myrm mimi and myrm depi</w:t>
            </w:r>
          </w:p>
        </w:tc>
      </w:tr>
      <w:tr w:rsidR="00000000" w14:paraId="2E6F7607"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393E15" w14:textId="77777777" w:rsidR="00000000" w:rsidRDefault="00955F6B">
            <w:pPr>
              <w:spacing w:line="240" w:lineRule="auto"/>
              <w:rPr>
                <w:bCs w:val="0"/>
              </w:rPr>
            </w:pPr>
            <w:r>
              <w:rPr>
                <w:bCs w:val="0"/>
              </w:rPr>
              <w:t>myrm nava</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0F61E0" w14:textId="77777777" w:rsidR="00000000" w:rsidRDefault="00955F6B">
            <w:pPr>
              <w:spacing w:line="240" w:lineRule="auto"/>
              <w:rPr>
                <w:bCs w:val="0"/>
                <w:i/>
              </w:rPr>
            </w:pPr>
            <w:r>
              <w:rPr>
                <w:bCs w:val="0"/>
                <w:i/>
              </w:rPr>
              <w:t>Myrmecocystus navajo</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2ABBB3" w14:textId="77777777" w:rsidR="00000000" w:rsidRDefault="00955F6B">
            <w:pPr>
              <w:spacing w:line="240" w:lineRule="auto"/>
              <w:rPr>
                <w:bCs w:val="0"/>
              </w:rPr>
            </w:pPr>
            <w:r>
              <w:rPr>
                <w:bCs w:val="0"/>
              </w:rPr>
              <w:t> </w:t>
            </w:r>
          </w:p>
        </w:tc>
      </w:tr>
      <w:tr w:rsidR="00000000" w14:paraId="18A0079A"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0FC6A2" w14:textId="77777777" w:rsidR="00000000" w:rsidRDefault="00955F6B">
            <w:pPr>
              <w:spacing w:line="240" w:lineRule="auto"/>
              <w:rPr>
                <w:bCs w:val="0"/>
              </w:rPr>
            </w:pPr>
            <w:r>
              <w:rPr>
                <w:bCs w:val="0"/>
              </w:rPr>
              <w:lastRenderedPageBreak/>
              <w:t>novo cock</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43F165" w14:textId="77777777" w:rsidR="00000000" w:rsidRDefault="00955F6B">
            <w:pPr>
              <w:spacing w:line="240" w:lineRule="auto"/>
              <w:rPr>
                <w:bCs w:val="0"/>
                <w:i/>
              </w:rPr>
            </w:pPr>
            <w:r>
              <w:rPr>
                <w:bCs w:val="0"/>
                <w:i/>
              </w:rPr>
              <w:t>Novomessor cockerelli</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0808A" w14:textId="77777777" w:rsidR="00000000" w:rsidRDefault="00955F6B">
            <w:pPr>
              <w:spacing w:line="240" w:lineRule="auto"/>
              <w:rPr>
                <w:bCs w:val="0"/>
              </w:rPr>
            </w:pPr>
            <w:r>
              <w:rPr>
                <w:bCs w:val="0"/>
              </w:rPr>
              <w:t> </w:t>
            </w:r>
          </w:p>
        </w:tc>
      </w:tr>
      <w:tr w:rsidR="00000000" w14:paraId="50ABCB36"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504DC6" w14:textId="77777777" w:rsidR="00000000" w:rsidRDefault="00955F6B">
            <w:pPr>
              <w:spacing w:line="240" w:lineRule="auto"/>
              <w:rPr>
                <w:bCs w:val="0"/>
              </w:rPr>
            </w:pPr>
            <w:r>
              <w:rPr>
                <w:bCs w:val="0"/>
              </w:rPr>
              <w:t>novo sp</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C492EC" w14:textId="77777777" w:rsidR="00000000" w:rsidRDefault="00955F6B">
            <w:pPr>
              <w:spacing w:line="240" w:lineRule="auto"/>
              <w:rPr>
                <w:bCs w:val="0"/>
                <w:i/>
              </w:rPr>
            </w:pPr>
            <w:r>
              <w:rPr>
                <w:bCs w:val="0"/>
                <w:i/>
              </w:rPr>
              <w:t>Novomessor spp.</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55A74" w14:textId="77777777" w:rsidR="00000000" w:rsidRDefault="00955F6B">
            <w:pPr>
              <w:spacing w:line="240" w:lineRule="auto"/>
              <w:rPr>
                <w:bCs w:val="0"/>
              </w:rPr>
            </w:pPr>
            <w:r>
              <w:rPr>
                <w:bCs w:val="0"/>
              </w:rPr>
              <w:t> </w:t>
            </w:r>
          </w:p>
        </w:tc>
      </w:tr>
      <w:tr w:rsidR="00000000" w14:paraId="6ACB3A66"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9FC3DC" w14:textId="77777777" w:rsidR="00000000" w:rsidRDefault="00955F6B">
            <w:pPr>
              <w:spacing w:line="240" w:lineRule="auto"/>
              <w:rPr>
                <w:bCs w:val="0"/>
              </w:rPr>
            </w:pPr>
            <w:r>
              <w:rPr>
                <w:bCs w:val="0"/>
              </w:rPr>
              <w:t>phei dese</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29C8AE" w14:textId="77777777" w:rsidR="00000000" w:rsidRDefault="00955F6B">
            <w:pPr>
              <w:spacing w:line="240" w:lineRule="auto"/>
              <w:rPr>
                <w:bCs w:val="0"/>
                <w:i/>
              </w:rPr>
            </w:pPr>
            <w:r>
              <w:rPr>
                <w:bCs w:val="0"/>
                <w:i/>
              </w:rPr>
              <w:t>Pheidole desertorum</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49B6C" w14:textId="77777777" w:rsidR="00000000" w:rsidRDefault="00955F6B">
            <w:pPr>
              <w:spacing w:line="240" w:lineRule="auto"/>
              <w:rPr>
                <w:bCs w:val="0"/>
              </w:rPr>
            </w:pPr>
            <w:r>
              <w:rPr>
                <w:bCs w:val="0"/>
              </w:rPr>
              <w:t> </w:t>
            </w:r>
          </w:p>
        </w:tc>
      </w:tr>
      <w:tr w:rsidR="00000000" w14:paraId="106688DF"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8C55CA" w14:textId="77777777" w:rsidR="00000000" w:rsidRDefault="00955F6B">
            <w:pPr>
              <w:spacing w:line="240" w:lineRule="auto"/>
              <w:rPr>
                <w:bCs w:val="0"/>
              </w:rPr>
            </w:pPr>
            <w:r>
              <w:rPr>
                <w:bCs w:val="0"/>
              </w:rPr>
              <w:t>phei mili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C3EE3D" w14:textId="77777777" w:rsidR="00000000" w:rsidRDefault="00955F6B">
            <w:pPr>
              <w:spacing w:line="240" w:lineRule="auto"/>
              <w:rPr>
                <w:bCs w:val="0"/>
                <w:i/>
              </w:rPr>
            </w:pPr>
            <w:r>
              <w:rPr>
                <w:bCs w:val="0"/>
                <w:i/>
              </w:rPr>
              <w:t>Pheidole militicida</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977B6B" w14:textId="77777777" w:rsidR="00000000" w:rsidRDefault="00955F6B">
            <w:pPr>
              <w:spacing w:line="240" w:lineRule="auto"/>
              <w:rPr>
                <w:bCs w:val="0"/>
              </w:rPr>
            </w:pPr>
            <w:r>
              <w:rPr>
                <w:bCs w:val="0"/>
              </w:rPr>
              <w:t> </w:t>
            </w:r>
          </w:p>
        </w:tc>
      </w:tr>
      <w:tr w:rsidR="00000000" w14:paraId="5C4E38BE"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9D940D" w14:textId="77777777" w:rsidR="00000000" w:rsidRDefault="00955F6B">
            <w:pPr>
              <w:spacing w:line="240" w:lineRule="auto"/>
              <w:rPr>
                <w:bCs w:val="0"/>
              </w:rPr>
            </w:pPr>
            <w:r>
              <w:rPr>
                <w:bCs w:val="0"/>
              </w:rPr>
              <w:t>phei sp</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4583AC" w14:textId="77777777" w:rsidR="00000000" w:rsidRDefault="00955F6B">
            <w:pPr>
              <w:spacing w:line="240" w:lineRule="auto"/>
              <w:rPr>
                <w:bCs w:val="0"/>
                <w:i/>
              </w:rPr>
            </w:pPr>
            <w:r>
              <w:rPr>
                <w:bCs w:val="0"/>
                <w:i/>
              </w:rPr>
              <w:t>Pheidole sp</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94C3A" w14:textId="77777777" w:rsidR="00000000" w:rsidRDefault="00955F6B">
            <w:pPr>
              <w:spacing w:line="240" w:lineRule="auto"/>
              <w:rPr>
                <w:bCs w:val="0"/>
              </w:rPr>
            </w:pPr>
            <w:r>
              <w:rPr>
                <w:bCs w:val="0"/>
              </w:rPr>
              <w:t> </w:t>
            </w:r>
          </w:p>
        </w:tc>
      </w:tr>
      <w:tr w:rsidR="00000000" w14:paraId="40F20BBE"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E3AB8A" w14:textId="77777777" w:rsidR="00000000" w:rsidRDefault="00955F6B">
            <w:pPr>
              <w:spacing w:line="240" w:lineRule="auto"/>
              <w:rPr>
                <w:bCs w:val="0"/>
              </w:rPr>
            </w:pPr>
            <w:r>
              <w:rPr>
                <w:bCs w:val="0"/>
              </w:rPr>
              <w:t>phei sita</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3890CC" w14:textId="77777777" w:rsidR="00000000" w:rsidRDefault="00955F6B">
            <w:pPr>
              <w:spacing w:line="240" w:lineRule="auto"/>
              <w:rPr>
                <w:bCs w:val="0"/>
                <w:i/>
              </w:rPr>
            </w:pPr>
            <w:r>
              <w:rPr>
                <w:bCs w:val="0"/>
                <w:i/>
              </w:rPr>
              <w:t>Pheidole sitarches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79669" w14:textId="77777777" w:rsidR="00000000" w:rsidRDefault="00955F6B">
            <w:pPr>
              <w:spacing w:line="240" w:lineRule="auto"/>
              <w:rPr>
                <w:bCs w:val="0"/>
              </w:rPr>
            </w:pPr>
            <w:r>
              <w:rPr>
                <w:bCs w:val="0"/>
              </w:rPr>
              <w:t> </w:t>
            </w:r>
          </w:p>
        </w:tc>
      </w:tr>
      <w:tr w:rsidR="00000000" w14:paraId="506478FE"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0B94A72" w14:textId="77777777" w:rsidR="00000000" w:rsidRDefault="00955F6B">
            <w:pPr>
              <w:spacing w:line="240" w:lineRule="auto"/>
              <w:rPr>
                <w:bCs w:val="0"/>
              </w:rPr>
            </w:pPr>
            <w:r>
              <w:rPr>
                <w:bCs w:val="0"/>
              </w:rPr>
              <w:t>phei xero</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69C9C2" w14:textId="77777777" w:rsidR="00000000" w:rsidRDefault="00955F6B">
            <w:pPr>
              <w:spacing w:line="240" w:lineRule="auto"/>
              <w:rPr>
                <w:bCs w:val="0"/>
                <w:i/>
              </w:rPr>
            </w:pPr>
            <w:r>
              <w:rPr>
                <w:bCs w:val="0"/>
                <w:i/>
              </w:rPr>
              <w:t>Pheidole xerophila</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E0938" w14:textId="77777777" w:rsidR="00000000" w:rsidRDefault="00955F6B">
            <w:pPr>
              <w:spacing w:line="240" w:lineRule="auto"/>
              <w:rPr>
                <w:bCs w:val="0"/>
              </w:rPr>
            </w:pPr>
            <w:r>
              <w:rPr>
                <w:bCs w:val="0"/>
              </w:rPr>
              <w:t> </w:t>
            </w:r>
          </w:p>
        </w:tc>
      </w:tr>
      <w:tr w:rsidR="00000000" w14:paraId="1318E6E3"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828556" w14:textId="77777777" w:rsidR="00000000" w:rsidRDefault="00955F6B">
            <w:pPr>
              <w:spacing w:line="240" w:lineRule="auto"/>
              <w:rPr>
                <w:bCs w:val="0"/>
              </w:rPr>
            </w:pPr>
            <w:r>
              <w:rPr>
                <w:bCs w:val="0"/>
              </w:rPr>
              <w:t>phei yell</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41FEA5" w14:textId="77777777" w:rsidR="00000000" w:rsidRDefault="00955F6B">
            <w:pPr>
              <w:spacing w:line="240" w:lineRule="auto"/>
              <w:rPr>
                <w:bCs w:val="0"/>
                <w:i/>
              </w:rPr>
            </w:pPr>
            <w:r>
              <w:rPr>
                <w:bCs w:val="0"/>
                <w:i/>
              </w:rPr>
              <w:t xml:space="preserve">Pheidole sp </w:t>
            </w:r>
            <w:r>
              <w:rPr>
                <w:bCs w:val="0"/>
              </w:rPr>
              <w:t>“yellow”</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D2E7F2" w14:textId="77777777" w:rsidR="00000000" w:rsidRDefault="00955F6B">
            <w:pPr>
              <w:spacing w:line="240" w:lineRule="auto"/>
              <w:rPr>
                <w:bCs w:val="0"/>
              </w:rPr>
            </w:pPr>
            <w:r>
              <w:rPr>
                <w:bCs w:val="0"/>
              </w:rPr>
              <w:t>No further description</w:t>
            </w:r>
          </w:p>
        </w:tc>
      </w:tr>
      <w:tr w:rsidR="00000000" w14:paraId="655ED4E9"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D5E603E" w14:textId="77777777" w:rsidR="00000000" w:rsidRDefault="00955F6B">
            <w:pPr>
              <w:spacing w:line="240" w:lineRule="auto"/>
              <w:rPr>
                <w:bCs w:val="0"/>
              </w:rPr>
            </w:pPr>
            <w:r>
              <w:rPr>
                <w:bCs w:val="0"/>
              </w:rPr>
              <w:t>pogo barb</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9F09D4" w14:textId="77777777" w:rsidR="00000000" w:rsidRDefault="00955F6B">
            <w:pPr>
              <w:spacing w:line="240" w:lineRule="auto"/>
              <w:rPr>
                <w:bCs w:val="0"/>
                <w:i/>
              </w:rPr>
            </w:pPr>
            <w:r>
              <w:rPr>
                <w:bCs w:val="0"/>
                <w:i/>
              </w:rPr>
              <w:t>Pogonomyrmex barbatus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90C04" w14:textId="77777777" w:rsidR="00000000" w:rsidRDefault="00955F6B">
            <w:pPr>
              <w:spacing w:line="240" w:lineRule="auto"/>
              <w:rPr>
                <w:bCs w:val="0"/>
              </w:rPr>
            </w:pPr>
            <w:r>
              <w:rPr>
                <w:bCs w:val="0"/>
              </w:rPr>
              <w:t> </w:t>
            </w:r>
          </w:p>
        </w:tc>
      </w:tr>
      <w:tr w:rsidR="00000000" w14:paraId="1021E79C"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1AD839" w14:textId="77777777" w:rsidR="00000000" w:rsidRDefault="00955F6B">
            <w:pPr>
              <w:spacing w:line="240" w:lineRule="auto"/>
              <w:rPr>
                <w:bCs w:val="0"/>
              </w:rPr>
            </w:pPr>
            <w:r>
              <w:rPr>
                <w:bCs w:val="0"/>
              </w:rPr>
              <w:t>pogo dese</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E5B38F" w14:textId="77777777" w:rsidR="00000000" w:rsidRDefault="00955F6B">
            <w:pPr>
              <w:spacing w:line="240" w:lineRule="auto"/>
              <w:rPr>
                <w:bCs w:val="0"/>
                <w:i/>
              </w:rPr>
            </w:pPr>
            <w:r>
              <w:rPr>
                <w:bCs w:val="0"/>
                <w:i/>
              </w:rPr>
              <w:t>Pogonomyrmex desertorum</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65F47" w14:textId="77777777" w:rsidR="00000000" w:rsidRDefault="00955F6B">
            <w:pPr>
              <w:spacing w:line="240" w:lineRule="auto"/>
              <w:rPr>
                <w:bCs w:val="0"/>
              </w:rPr>
            </w:pPr>
            <w:r>
              <w:rPr>
                <w:bCs w:val="0"/>
              </w:rPr>
              <w:t> </w:t>
            </w:r>
          </w:p>
        </w:tc>
      </w:tr>
      <w:tr w:rsidR="00000000" w14:paraId="69C1E394"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BF03B7" w14:textId="77777777" w:rsidR="00000000" w:rsidRDefault="00955F6B">
            <w:pPr>
              <w:spacing w:line="240" w:lineRule="auto"/>
              <w:rPr>
                <w:bCs w:val="0"/>
              </w:rPr>
            </w:pPr>
            <w:r>
              <w:rPr>
                <w:bCs w:val="0"/>
              </w:rPr>
              <w:t>pogo imbe</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FE7E96" w14:textId="77777777" w:rsidR="00000000" w:rsidRDefault="00955F6B">
            <w:pPr>
              <w:spacing w:line="240" w:lineRule="auto"/>
              <w:rPr>
                <w:bCs w:val="0"/>
                <w:i/>
              </w:rPr>
            </w:pPr>
            <w:r>
              <w:rPr>
                <w:bCs w:val="0"/>
                <w:i/>
              </w:rPr>
              <w:t>Pogonomyrmex imbebiculus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4B2B1E" w14:textId="77777777" w:rsidR="00000000" w:rsidRDefault="00955F6B">
            <w:pPr>
              <w:spacing w:line="240" w:lineRule="auto"/>
              <w:rPr>
                <w:bCs w:val="0"/>
              </w:rPr>
            </w:pPr>
            <w:r>
              <w:rPr>
                <w:bCs w:val="0"/>
              </w:rPr>
              <w:t> </w:t>
            </w:r>
          </w:p>
        </w:tc>
      </w:tr>
      <w:tr w:rsidR="00000000" w14:paraId="197A4CBE"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44A21F" w14:textId="77777777" w:rsidR="00000000" w:rsidRDefault="00955F6B">
            <w:pPr>
              <w:spacing w:line="240" w:lineRule="auto"/>
              <w:rPr>
                <w:bCs w:val="0"/>
              </w:rPr>
            </w:pPr>
            <w:r>
              <w:rPr>
                <w:bCs w:val="0"/>
              </w:rPr>
              <w:t>pogo mari</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0C54AE" w14:textId="77777777" w:rsidR="00000000" w:rsidRDefault="00955F6B">
            <w:pPr>
              <w:spacing w:line="240" w:lineRule="auto"/>
              <w:rPr>
                <w:bCs w:val="0"/>
                <w:i/>
              </w:rPr>
            </w:pPr>
            <w:r>
              <w:rPr>
                <w:bCs w:val="0"/>
                <w:i/>
              </w:rPr>
              <w:t>Pogonomyrmex maricopa</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973C0" w14:textId="77777777" w:rsidR="00000000" w:rsidRDefault="00955F6B">
            <w:pPr>
              <w:spacing w:line="240" w:lineRule="auto"/>
              <w:rPr>
                <w:bCs w:val="0"/>
              </w:rPr>
            </w:pPr>
            <w:r>
              <w:rPr>
                <w:bCs w:val="0"/>
              </w:rPr>
              <w:t> </w:t>
            </w:r>
          </w:p>
        </w:tc>
      </w:tr>
      <w:tr w:rsidR="00000000" w14:paraId="042692AD"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DECD26" w14:textId="77777777" w:rsidR="00000000" w:rsidRDefault="00955F6B">
            <w:pPr>
              <w:spacing w:line="240" w:lineRule="auto"/>
              <w:rPr>
                <w:bCs w:val="0"/>
              </w:rPr>
            </w:pPr>
            <w:r>
              <w:rPr>
                <w:bCs w:val="0"/>
              </w:rPr>
              <w:t>pogo pima</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70E028" w14:textId="77777777" w:rsidR="00000000" w:rsidRDefault="00955F6B">
            <w:pPr>
              <w:spacing w:line="240" w:lineRule="auto"/>
              <w:rPr>
                <w:bCs w:val="0"/>
                <w:i/>
              </w:rPr>
            </w:pPr>
            <w:r>
              <w:rPr>
                <w:bCs w:val="0"/>
                <w:i/>
              </w:rPr>
              <w:t>Pogonomyrmex pima</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41E99" w14:textId="77777777" w:rsidR="00000000" w:rsidRDefault="00955F6B">
            <w:pPr>
              <w:spacing w:line="240" w:lineRule="auto"/>
              <w:rPr>
                <w:bCs w:val="0"/>
              </w:rPr>
            </w:pPr>
            <w:r>
              <w:rPr>
                <w:bCs w:val="0"/>
              </w:rPr>
              <w:t> </w:t>
            </w:r>
          </w:p>
        </w:tc>
      </w:tr>
      <w:tr w:rsidR="00000000" w14:paraId="58E20123"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D5A813" w14:textId="77777777" w:rsidR="00000000" w:rsidRDefault="00955F6B">
            <w:pPr>
              <w:spacing w:line="240" w:lineRule="auto"/>
              <w:rPr>
                <w:bCs w:val="0"/>
              </w:rPr>
            </w:pPr>
            <w:r>
              <w:rPr>
                <w:bCs w:val="0"/>
              </w:rPr>
              <w:t>pogo rugo</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9DC7B4" w14:textId="77777777" w:rsidR="00000000" w:rsidRDefault="00955F6B">
            <w:pPr>
              <w:spacing w:line="240" w:lineRule="auto"/>
              <w:rPr>
                <w:bCs w:val="0"/>
                <w:i/>
              </w:rPr>
            </w:pPr>
            <w:r>
              <w:rPr>
                <w:bCs w:val="0"/>
                <w:i/>
              </w:rPr>
              <w:t>Pogonomyrmex rugosus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032653" w14:textId="77777777" w:rsidR="00000000" w:rsidRDefault="00955F6B">
            <w:pPr>
              <w:spacing w:line="240" w:lineRule="auto"/>
              <w:rPr>
                <w:bCs w:val="0"/>
              </w:rPr>
            </w:pPr>
            <w:r>
              <w:rPr>
                <w:bCs w:val="0"/>
              </w:rPr>
              <w:t> </w:t>
            </w:r>
          </w:p>
        </w:tc>
      </w:tr>
      <w:tr w:rsidR="00000000" w14:paraId="11B07F86"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528463" w14:textId="77777777" w:rsidR="00000000" w:rsidRDefault="00955F6B">
            <w:pPr>
              <w:spacing w:line="240" w:lineRule="auto"/>
              <w:rPr>
                <w:bCs w:val="0"/>
              </w:rPr>
            </w:pPr>
            <w:r>
              <w:rPr>
                <w:bCs w:val="0"/>
              </w:rPr>
              <w:t>sole sp</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ADC0A8" w14:textId="77777777" w:rsidR="00000000" w:rsidRDefault="00955F6B">
            <w:pPr>
              <w:spacing w:line="240" w:lineRule="auto"/>
              <w:rPr>
                <w:bCs w:val="0"/>
                <w:i/>
              </w:rPr>
            </w:pPr>
            <w:r>
              <w:rPr>
                <w:bCs w:val="0"/>
                <w:i/>
              </w:rPr>
              <w:t>Solenopsis sp.</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495B7" w14:textId="77777777" w:rsidR="00000000" w:rsidRDefault="00955F6B">
            <w:pPr>
              <w:spacing w:line="240" w:lineRule="auto"/>
              <w:rPr>
                <w:bCs w:val="0"/>
              </w:rPr>
            </w:pPr>
            <w:r>
              <w:rPr>
                <w:bCs w:val="0"/>
              </w:rPr>
              <w:t> </w:t>
            </w:r>
          </w:p>
        </w:tc>
      </w:tr>
      <w:tr w:rsidR="00000000" w14:paraId="31B3033C" w14:textId="77777777">
        <w:trPr>
          <w:trHeight w:val="312"/>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18FCD7" w14:textId="77777777" w:rsidR="00000000" w:rsidRDefault="00955F6B">
            <w:pPr>
              <w:spacing w:line="240" w:lineRule="auto"/>
              <w:rPr>
                <w:bCs w:val="0"/>
              </w:rPr>
            </w:pPr>
            <w:r>
              <w:rPr>
                <w:bCs w:val="0"/>
              </w:rPr>
              <w:t>sole xylo</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8A890AF" w14:textId="77777777" w:rsidR="00000000" w:rsidRDefault="00955F6B">
            <w:pPr>
              <w:spacing w:line="240" w:lineRule="auto"/>
              <w:rPr>
                <w:bCs w:val="0"/>
                <w:i/>
              </w:rPr>
            </w:pPr>
            <w:r>
              <w:rPr>
                <w:bCs w:val="0"/>
                <w:i/>
              </w:rPr>
              <w:t>Solenopsis xyloni</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3557B" w14:textId="77777777" w:rsidR="00000000" w:rsidRDefault="00955F6B">
            <w:pPr>
              <w:spacing w:line="240" w:lineRule="auto"/>
              <w:rPr>
                <w:bCs w:val="0"/>
              </w:rPr>
            </w:pPr>
            <w:r>
              <w:rPr>
                <w:bCs w:val="0"/>
              </w:rPr>
              <w:t> </w:t>
            </w:r>
          </w:p>
        </w:tc>
      </w:tr>
      <w:tr w:rsidR="00000000" w14:paraId="1200398B" w14:textId="77777777">
        <w:trPr>
          <w:trHeight w:val="624"/>
        </w:trPr>
        <w:tc>
          <w:tcPr>
            <w:tcW w:w="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8FED70" w14:textId="77777777" w:rsidR="00000000" w:rsidRDefault="00955F6B">
            <w:pPr>
              <w:spacing w:line="240" w:lineRule="auto"/>
              <w:rPr>
                <w:bCs w:val="0"/>
              </w:rPr>
            </w:pPr>
            <w:r>
              <w:rPr>
                <w:bCs w:val="0"/>
              </w:rPr>
              <w:t>unkn</w:t>
            </w:r>
          </w:p>
        </w:tc>
        <w:tc>
          <w:tcPr>
            <w:tcW w:w="17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94B6F5" w14:textId="77777777" w:rsidR="00000000" w:rsidRDefault="00955F6B">
            <w:pPr>
              <w:spacing w:line="240" w:lineRule="auto"/>
              <w:rPr>
                <w:bCs w:val="0"/>
              </w:rPr>
            </w:pPr>
            <w:r>
              <w:rPr>
                <w:bCs w:val="0"/>
              </w:rPr>
              <w:t>Unknown species</w:t>
            </w:r>
          </w:p>
        </w:tc>
        <w:tc>
          <w:tcPr>
            <w:tcW w:w="2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3BA39B" w14:textId="77777777" w:rsidR="00000000" w:rsidRDefault="00955F6B">
            <w:pPr>
              <w:spacing w:line="240" w:lineRule="auto"/>
              <w:rPr>
                <w:bCs w:val="0"/>
              </w:rPr>
            </w:pPr>
            <w:r>
              <w:rPr>
                <w:bCs w:val="0"/>
              </w:rPr>
              <w:t>Possibly contains several species within one year and plot</w:t>
            </w:r>
          </w:p>
        </w:tc>
      </w:tr>
    </w:tbl>
    <w:p w14:paraId="2DAC40DF" w14:textId="77777777" w:rsidR="00000000" w:rsidRDefault="00955F6B">
      <w:pPr>
        <w:pStyle w:val="NormalWeb"/>
      </w:pPr>
    </w:p>
    <w:p w14:paraId="44416767" w14:textId="77777777" w:rsidR="00000000" w:rsidRDefault="00955F6B">
      <w:pPr>
        <w:pStyle w:val="NormalWeb"/>
      </w:pPr>
      <w:r>
        <w:t>Table 4: Notes for problem data</w:t>
      </w:r>
    </w:p>
    <w:tbl>
      <w:tblPr>
        <w:tblStyle w:val="TableGridLight"/>
        <w:tblW w:w="9360" w:type="dxa"/>
        <w:tblInd w:w="-5" w:type="dxa"/>
        <w:tblLook w:val="04A0" w:firstRow="1" w:lastRow="0" w:firstColumn="1" w:lastColumn="0" w:noHBand="0" w:noVBand="1"/>
      </w:tblPr>
      <w:tblGrid>
        <w:gridCol w:w="960"/>
        <w:gridCol w:w="8400"/>
      </w:tblGrid>
      <w:tr w:rsidR="00000000" w14:paraId="02C6042D"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28C3B2" w14:textId="77777777" w:rsidR="00000000" w:rsidRDefault="00955F6B">
            <w:pPr>
              <w:pStyle w:val="NormalWeb"/>
              <w:rPr>
                <w:b/>
              </w:rPr>
            </w:pPr>
            <w:r>
              <w:rPr>
                <w:b/>
              </w:rPr>
              <w:t>Flag</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E83F01" w14:textId="77777777" w:rsidR="00000000" w:rsidRDefault="00955F6B">
            <w:pPr>
              <w:pStyle w:val="NormalWeb"/>
              <w:rPr>
                <w:b/>
              </w:rPr>
            </w:pPr>
            <w:r>
              <w:rPr>
                <w:b/>
              </w:rPr>
              <w:t>Meaning</w:t>
            </w:r>
          </w:p>
        </w:tc>
      </w:tr>
      <w:tr w:rsidR="00000000" w14:paraId="5C913BD4"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9ADAAA" w14:textId="77777777" w:rsidR="00000000" w:rsidRDefault="00955F6B">
            <w:pPr>
              <w:pStyle w:val="NormalWeb"/>
            </w:pPr>
            <w:r>
              <w:t>1</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C35499" w14:textId="77777777" w:rsidR="00000000" w:rsidRDefault="00955F6B">
            <w:pPr>
              <w:pStyle w:val="NormalWeb"/>
            </w:pPr>
            <w:r>
              <w:t>missing stake data</w:t>
            </w:r>
          </w:p>
        </w:tc>
      </w:tr>
      <w:tr w:rsidR="00000000" w14:paraId="17D9E363"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B1214C" w14:textId="77777777" w:rsidR="00000000" w:rsidRDefault="00955F6B">
            <w:pPr>
              <w:pStyle w:val="NormalWeb"/>
            </w:pPr>
            <w:r>
              <w:t>2</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574AB6" w14:textId="77777777" w:rsidR="00000000" w:rsidRDefault="00955F6B">
            <w:pPr>
              <w:pStyle w:val="NormalWeb"/>
            </w:pPr>
            <w:r>
              <w:t>suspect data, count missing assumed to be 1</w:t>
            </w:r>
          </w:p>
        </w:tc>
      </w:tr>
      <w:tr w:rsidR="00000000" w14:paraId="7645DAA7"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F51A71" w14:textId="77777777" w:rsidR="00000000" w:rsidRDefault="00955F6B">
            <w:pPr>
              <w:pStyle w:val="NormalWeb"/>
            </w:pPr>
            <w:r>
              <w:t>3</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0433DA" w14:textId="77777777" w:rsidR="00000000" w:rsidRDefault="00955F6B">
            <w:pPr>
              <w:pStyle w:val="NormalWeb"/>
            </w:pPr>
            <w:r>
              <w:t>no stake recorded, nearest stake recorded in notes, used for stake value</w:t>
            </w:r>
          </w:p>
        </w:tc>
      </w:tr>
      <w:tr w:rsidR="00000000" w14:paraId="3C5D8286"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E23C2B" w14:textId="77777777" w:rsidR="00000000" w:rsidRDefault="00955F6B">
            <w:pPr>
              <w:pStyle w:val="NormalWeb"/>
            </w:pPr>
            <w:r>
              <w:t>4</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2B25FF" w14:textId="77777777" w:rsidR="00000000" w:rsidRDefault="00955F6B">
            <w:pPr>
              <w:pStyle w:val="NormalWeb"/>
            </w:pPr>
            <w:r>
              <w:t>colony near or on edge of census boundary, distance recorded in notes</w:t>
            </w:r>
          </w:p>
        </w:tc>
      </w:tr>
      <w:tr w:rsidR="00000000" w14:paraId="2EE275D3"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65352E" w14:textId="77777777" w:rsidR="00000000" w:rsidRDefault="00955F6B">
            <w:pPr>
              <w:pStyle w:val="NormalWeb"/>
            </w:pPr>
            <w:r>
              <w:t>5</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B61222" w14:textId="77777777" w:rsidR="00000000" w:rsidRDefault="00955F6B">
            <w:pPr>
              <w:pStyle w:val="NormalWeb"/>
            </w:pPr>
            <w:r>
              <w:t xml:space="preserve">sole xylo </w:t>
            </w:r>
            <w:r>
              <w:t>not counted in this census (1978, 1979)</w:t>
            </w:r>
          </w:p>
        </w:tc>
      </w:tr>
      <w:tr w:rsidR="00000000" w14:paraId="41AC4F52"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CEE077" w14:textId="77777777" w:rsidR="00000000" w:rsidRDefault="00955F6B">
            <w:pPr>
              <w:pStyle w:val="NormalWeb"/>
            </w:pPr>
            <w:r>
              <w:t>6</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8613A4" w14:textId="77777777" w:rsidR="00000000" w:rsidRDefault="00955F6B">
            <w:pPr>
              <w:pStyle w:val="NormalWeb"/>
            </w:pPr>
            <w:r>
              <w:t>rare species not counted in this census (1981)</w:t>
            </w:r>
          </w:p>
        </w:tc>
      </w:tr>
      <w:tr w:rsidR="00000000" w14:paraId="786A2BE6"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6BE757" w14:textId="77777777" w:rsidR="00000000" w:rsidRDefault="00955F6B">
            <w:pPr>
              <w:pStyle w:val="NormalWeb"/>
            </w:pPr>
            <w:r>
              <w:t>7</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96B351" w14:textId="77777777" w:rsidR="00000000" w:rsidRDefault="00955F6B">
            <w:pPr>
              <w:pStyle w:val="NormalWeb"/>
            </w:pPr>
            <w:r>
              <w:t>only presence (=1) recorded, not abundance</w:t>
            </w:r>
          </w:p>
        </w:tc>
      </w:tr>
      <w:tr w:rsidR="00000000" w14:paraId="08550C11"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2311F7" w14:textId="77777777" w:rsidR="00000000" w:rsidRDefault="00955F6B">
            <w:pPr>
              <w:pStyle w:val="NormalWeb"/>
            </w:pPr>
            <w:r>
              <w:lastRenderedPageBreak/>
              <w:t>8</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74EA81" w14:textId="77777777" w:rsidR="00000000" w:rsidRDefault="00955F6B">
            <w:pPr>
              <w:pStyle w:val="NormalWeb"/>
            </w:pPr>
            <w:r>
              <w:t>rocky, washed out, or disturbed substrate</w:t>
            </w:r>
          </w:p>
        </w:tc>
      </w:tr>
      <w:tr w:rsidR="00000000" w14:paraId="557A9BF6"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BC9A4E" w14:textId="77777777" w:rsidR="00000000" w:rsidRDefault="00955F6B">
            <w:pPr>
              <w:pStyle w:val="NormalWeb"/>
            </w:pPr>
            <w:r>
              <w:t>9</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B7869AA" w14:textId="77777777" w:rsidR="00000000" w:rsidRDefault="00955F6B">
            <w:pPr>
              <w:pStyle w:val="NormalWeb"/>
            </w:pPr>
            <w:r>
              <w:t>no stake level data, only plot totals recorded</w:t>
            </w:r>
          </w:p>
        </w:tc>
      </w:tr>
      <w:tr w:rsidR="00000000" w14:paraId="44DE682F"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BBE1A49" w14:textId="77777777" w:rsidR="00000000" w:rsidRDefault="00955F6B">
            <w:pPr>
              <w:pStyle w:val="NormalWeb"/>
            </w:pPr>
            <w:r>
              <w:t>10</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034E45" w14:textId="77777777" w:rsidR="00000000" w:rsidRDefault="00955F6B">
            <w:pPr>
              <w:pStyle w:val="NormalWeb"/>
            </w:pPr>
            <w:r>
              <w:t>plot redone at end of</w:t>
            </w:r>
            <w:r>
              <w:t xml:space="preserve"> census, this is duplicate data, possible data issues on earlier date</w:t>
            </w:r>
          </w:p>
        </w:tc>
      </w:tr>
      <w:tr w:rsidR="00000000" w14:paraId="50EAAAFF" w14:textId="77777777">
        <w:trPr>
          <w:trHeight w:val="288"/>
        </w:trPr>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34FB8FB" w14:textId="77777777" w:rsidR="00000000" w:rsidRDefault="00955F6B">
            <w:pPr>
              <w:pStyle w:val="NormalWeb"/>
            </w:pPr>
            <w:r>
              <w:t>11</w:t>
            </w:r>
          </w:p>
        </w:tc>
        <w:tc>
          <w:tcPr>
            <w:tcW w:w="8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47829DC" w14:textId="77777777" w:rsidR="00000000" w:rsidRDefault="00955F6B">
            <w:pPr>
              <w:pStyle w:val="NormalWeb"/>
            </w:pPr>
            <w:r>
              <w:t>openings number suspect</w:t>
            </w:r>
          </w:p>
        </w:tc>
      </w:tr>
    </w:tbl>
    <w:p w14:paraId="55AEDCD1" w14:textId="77777777" w:rsidR="00000000" w:rsidRDefault="00955F6B">
      <w:pPr>
        <w:pStyle w:val="NormalWeb"/>
      </w:pPr>
    </w:p>
    <w:p w14:paraId="305A1225" w14:textId="77777777" w:rsidR="00000000" w:rsidRDefault="00955F6B">
      <w:pPr>
        <w:pStyle w:val="Heading1"/>
        <w:rPr>
          <w:rFonts w:eastAsia="Times New Roman"/>
        </w:rPr>
      </w:pPr>
      <w:r>
        <w:rPr>
          <w:rFonts w:eastAsia="Times New Roman"/>
        </w:rPr>
        <w:t>CLASS V. SUPPLEMENTAL DESCRIPTORS</w:t>
      </w:r>
    </w:p>
    <w:p w14:paraId="0A76F594" w14:textId="77777777" w:rsidR="00000000" w:rsidRDefault="00955F6B">
      <w:pPr>
        <w:pStyle w:val="NormalWeb"/>
        <w:rPr>
          <w:highlight w:val="green"/>
        </w:rPr>
      </w:pPr>
      <w:r>
        <w:t xml:space="preserve">A. Publications using the data set: See </w:t>
      </w:r>
      <w:r>
        <w:rPr>
          <w:i/>
        </w:rPr>
        <w:t>Portal_overview_metadata.html</w:t>
      </w:r>
    </w:p>
    <w:p w14:paraId="10B7E3F8" w14:textId="77777777" w:rsidR="00000000" w:rsidRDefault="00955F6B">
      <w:pPr>
        <w:pStyle w:val="Heading1"/>
        <w:rPr>
          <w:rFonts w:eastAsia="Times New Roman"/>
        </w:rPr>
      </w:pPr>
      <w:r>
        <w:rPr>
          <w:rFonts w:eastAsia="Times New Roman"/>
        </w:rPr>
        <w:t>LITERATURE CITED</w:t>
      </w:r>
    </w:p>
    <w:p w14:paraId="79B15338" w14:textId="77777777" w:rsidR="00000000" w:rsidRDefault="00955F6B">
      <w:pPr>
        <w:pStyle w:val="NormalWeb"/>
      </w:pPr>
      <w:r>
        <w:t>Davidson, D.W., D.A. Samson, and R.S. Inouye. 1985. Granivory in the Chihuahuan Desert: Interactions within and between trophic levels. Ecology 66: 486-502.</w:t>
      </w:r>
    </w:p>
    <w:p w14:paraId="22D2790A" w14:textId="77777777" w:rsidR="00955F6B" w:rsidRDefault="00955F6B">
      <w:pPr>
        <w:pStyle w:val="NormalWeb"/>
        <w:rPr>
          <w:b/>
        </w:rPr>
      </w:pPr>
      <w:r>
        <w:t>Ernest, S. K. Morgan, Thomas J. Valone, and James H. Brown. 2009. Long-term monitoring and experime</w:t>
      </w:r>
      <w:r>
        <w:t>ntal manipulation of a Chihuahuan Desert ecosystem near Portal, Arizona, USA. Ecology 90:1708.</w:t>
      </w:r>
    </w:p>
    <w:sectPr w:rsidR="00955F6B">
      <w:headerReference w:type="default" r:id="rId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Ernest,SK Morgan" w:date="2015-11-24T11:48:00Z" w:initials="EM">
    <w:p w14:paraId="7F7A4B79" w14:textId="77777777" w:rsidR="00000000" w:rsidRDefault="00955F6B">
      <w:pPr>
        <w:pStyle w:val="CommentText"/>
      </w:pPr>
      <w:r>
        <w:rPr>
          <w:rStyle w:val="CommentReference"/>
        </w:rPr>
        <w:annotationRef/>
      </w:r>
      <w:r>
        <w:t xml:space="preserve">I have an email in with Tom about this and when they stopped doing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A4B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A8809" w14:textId="77777777" w:rsidR="00955F6B" w:rsidRDefault="00955F6B">
      <w:r>
        <w:separator/>
      </w:r>
    </w:p>
  </w:endnote>
  <w:endnote w:type="continuationSeparator" w:id="0">
    <w:p w14:paraId="5C8A8AD3" w14:textId="77777777" w:rsidR="00955F6B" w:rsidRDefault="0095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4921" w14:textId="77777777" w:rsidR="00955F6B" w:rsidRDefault="00955F6B">
      <w:r>
        <w:separator/>
      </w:r>
    </w:p>
  </w:footnote>
  <w:footnote w:type="continuationSeparator" w:id="0">
    <w:p w14:paraId="20FA6B9B" w14:textId="77777777" w:rsidR="00955F6B" w:rsidRDefault="00955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871538"/>
      <w:docPartObj>
        <w:docPartGallery w:val="Page Numbers (Top of Page)"/>
        <w:docPartUnique/>
      </w:docPartObj>
    </w:sdtPr>
    <w:sdtEndPr/>
    <w:sdtContent>
      <w:p w14:paraId="6ADBAE33" w14:textId="77777777" w:rsidR="00000000" w:rsidRDefault="00955F6B">
        <w:pPr>
          <w:pStyle w:val="Header"/>
          <w:jc w:val="right"/>
        </w:pPr>
        <w:r>
          <w:fldChar w:fldCharType="begin"/>
        </w:r>
        <w:r>
          <w:instrText xml:space="preserve"> PAGE   \* MERGEFORMAT </w:instrText>
        </w:r>
        <w:r>
          <w:fldChar w:fldCharType="separate"/>
        </w:r>
        <w:r w:rsidR="00C640C8">
          <w:rPr>
            <w:noProof/>
          </w:rPr>
          <w:t>1</w:t>
        </w:r>
        <w:r>
          <w:rPr>
            <w:noProof/>
          </w:rPr>
          <w:fldChar w:fldCharType="end"/>
        </w:r>
      </w:p>
    </w:sdtContent>
  </w:sdt>
  <w:p w14:paraId="08B6C754" w14:textId="77777777" w:rsidR="00000000" w:rsidRDefault="00955F6B">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nest,SK Morgan">
    <w15:presenceInfo w15:providerId="AD" w15:userId="S-1-5-21-1308237860-4193317556-336787646-1778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C8"/>
    <w:rsid w:val="00955F6B"/>
    <w:rsid w:val="00C6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439DF"/>
  <w15:chartTrackingRefBased/>
  <w15:docId w15:val="{6AC37364-9E4D-4C7B-A971-811720A9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bCs/>
      <w:sz w:val="24"/>
      <w:szCs w:val="24"/>
    </w:rPr>
  </w:style>
  <w:style w:type="paragraph" w:styleId="Heading1">
    <w:name w:val="heading 1"/>
    <w:basedOn w:val="Heading3"/>
    <w:next w:val="Normal"/>
    <w:link w:val="Heading1Char"/>
    <w:qFormat/>
    <w:pPr>
      <w:outlineLvl w:val="0"/>
    </w:pPr>
    <w:rPr>
      <w:b/>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Web"/>
    <w:link w:val="Heading3Char"/>
    <w:qFormat/>
    <w:pPr>
      <w:outlineLvl w:val="2"/>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Pr>
      <w:color w:val="0000FF"/>
      <w:u w:val="single"/>
    </w:rPr>
  </w:style>
  <w:style w:type="character" w:styleId="FollowedHyperlink">
    <w:name w:val="FollowedHyperlink"/>
    <w:basedOn w:val="DefaultParagraphFont"/>
    <w:semiHidden/>
    <w:unhideWhenUsed/>
    <w:rPr>
      <w:color w:val="800080" w:themeColor="followedHyperlink"/>
      <w:u w:val="single"/>
    </w:rPr>
  </w:style>
  <w:style w:type="character" w:customStyle="1" w:styleId="Heading3Char">
    <w:name w:val="Heading 3 Char"/>
    <w:basedOn w:val="DefaultParagraphFont"/>
    <w:link w:val="Heading3"/>
    <w:locked/>
    <w:rPr>
      <w:rFonts w:asciiTheme="majorHAnsi" w:eastAsiaTheme="majorEastAsia" w:hAnsiTheme="majorHAnsi" w:cstheme="majorBidi" w:hint="default"/>
      <w:bCs/>
      <w:color w:val="243F60" w:themeColor="accent1" w:themeShade="7F"/>
      <w:sz w:val="24"/>
      <w:szCs w:val="24"/>
    </w:rPr>
  </w:style>
  <w:style w:type="character" w:customStyle="1" w:styleId="Heading1Char">
    <w:name w:val="Heading 1 Char"/>
    <w:basedOn w:val="DefaultParagraphFont"/>
    <w:link w:val="Heading1"/>
    <w:locked/>
    <w:rPr>
      <w:b/>
      <w:bCs/>
      <w:sz w:val="24"/>
      <w:szCs w:val="24"/>
    </w:rPr>
  </w:style>
  <w:style w:type="character" w:customStyle="1" w:styleId="Heading2Char">
    <w:name w:val="Heading 2 Char"/>
    <w:basedOn w:val="DefaultParagraphFont"/>
    <w:link w:val="Heading2"/>
    <w:semiHidden/>
    <w:locked/>
    <w:rPr>
      <w:rFonts w:asciiTheme="majorHAnsi" w:eastAsiaTheme="majorEastAsia" w:hAnsiTheme="majorHAnsi" w:cstheme="majorBidi" w:hint="default"/>
      <w:bCs/>
      <w:color w:val="365F91" w:themeColor="accent1" w:themeShade="BF"/>
      <w:sz w:val="26"/>
      <w:szCs w:val="26"/>
    </w:rPr>
  </w:style>
  <w:style w:type="paragraph" w:styleId="NormalWeb">
    <w:name w:val="Normal (Web)"/>
    <w:basedOn w:val="Normal"/>
    <w:semiHidden/>
    <w:unhideWhenUsed/>
    <w:pPr>
      <w:spacing w:before="100" w:beforeAutospacing="1" w:after="100" w:afterAutospacing="1"/>
    </w:p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bCs/>
      <w:sz w:val="24"/>
      <w:szCs w:val="24"/>
    </w:rPr>
  </w:style>
  <w:style w:type="paragraph" w:styleId="Footer">
    <w:name w:val="footer"/>
    <w:basedOn w:val="Normal"/>
    <w:link w:val="FooterChar"/>
    <w:semiHidden/>
    <w:unhideWhenUsed/>
    <w:pPr>
      <w:tabs>
        <w:tab w:val="center" w:pos="4320"/>
        <w:tab w:val="right" w:pos="8640"/>
      </w:tabs>
    </w:pPr>
  </w:style>
  <w:style w:type="character" w:customStyle="1" w:styleId="FooterChar">
    <w:name w:val="Footer Char"/>
    <w:basedOn w:val="DefaultParagraphFont"/>
    <w:link w:val="Footer"/>
    <w:semiHidden/>
    <w:locked/>
    <w:rPr>
      <w:bCs/>
      <w:sz w:val="24"/>
      <w:szCs w:val="24"/>
    </w:rPr>
  </w:style>
  <w:style w:type="paragraph" w:styleId="CommentSubject">
    <w:name w:val="annotation subject"/>
    <w:basedOn w:val="CommentText"/>
    <w:next w:val="CommentText"/>
    <w:link w:val="CommentSubjectChar"/>
    <w:semiHidden/>
    <w:unhideWhenUsed/>
    <w:rPr>
      <w:b/>
      <w:bCs w:val="0"/>
    </w:rPr>
  </w:style>
  <w:style w:type="character" w:customStyle="1" w:styleId="CommentSubjectChar">
    <w:name w:val="Comment Subject Char"/>
    <w:basedOn w:val="CommentTextChar"/>
    <w:link w:val="CommentSubject"/>
    <w:semiHidden/>
    <w:locked/>
    <w:rPr>
      <w:b/>
      <w:bCs/>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locked/>
    <w:rPr>
      <w:rFonts w:ascii="Segoe UI" w:hAnsi="Segoe UI" w:cs="Segoe UI" w:hint="default"/>
      <w:bCs/>
      <w:sz w:val="18"/>
      <w:szCs w:val="18"/>
    </w:rPr>
  </w:style>
  <w:style w:type="character" w:styleId="CommentReference">
    <w:name w:val="annotation reference"/>
    <w:basedOn w:val="DefaultParagraphFont"/>
    <w:semiHidden/>
    <w:unhideWhenUsed/>
    <w:rPr>
      <w:sz w:val="16"/>
      <w:szCs w:val="16"/>
    </w:rPr>
  </w:style>
  <w:style w:type="table" w:styleId="TableWeb2">
    <w:name w:val="Table Web 2"/>
    <w:basedOn w:val="TableNormal"/>
    <w:semiHidden/>
    <w:unhideWhenUsed/>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semiHidden/>
    <w:unhideWhenUsed/>
    <w:rsid w:val="00C64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Ecological Archives E088-161-D1</vt:lpstr>
    </vt:vector>
  </TitlesOfParts>
  <Company>Utah State University</Company>
  <LinksUpToDate>false</LinksUpToDate>
  <CharactersWithSpaces>15185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Archives E088-161-D1</dc:title>
  <dc:subject/>
  <dc:creator>Morgan Ernest</dc:creator>
  <cp:keywords/>
  <dc:description/>
  <cp:lastModifiedBy>skmorgane</cp:lastModifiedBy>
  <cp:revision>2</cp:revision>
  <cp:lastPrinted>2008-05-29T15:49:00Z</cp:lastPrinted>
  <dcterms:created xsi:type="dcterms:W3CDTF">2015-12-17T16:44:00Z</dcterms:created>
  <dcterms:modified xsi:type="dcterms:W3CDTF">2015-12-17T16:44:00Z</dcterms:modified>
</cp:coreProperties>
</file>