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5.png" ContentType="image/png"/>
  <Override PartName="/word/media/rId44.png" ContentType="image/png"/>
  <Override PartName="/word/media/rId42.png" ContentType="image/png"/>
  <Override PartName="/word/media/rId41.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04</w:t>
      </w:r>
      <w:r>
        <w:t xml:space="preserve"> </w:t>
      </w:r>
      <w:r>
        <w:t xml:space="preserve">August,</w:t>
      </w:r>
      <w:r>
        <w:t xml:space="preserve"> </w:t>
      </w:r>
      <w:r>
        <w:t xml:space="preserve">2021</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pPr>
        <w:pStyle w:val="BodyText"/>
      </w:pPr>
      <w:r>
        <w:t xml:space="preserve">Running title: Delayed effects of climate on vital rates</w:t>
      </w:r>
    </w:p>
    <w:p>
      <w:r>
        <w:br w:type="page"/>
      </w:r>
    </w:p>
    <w:bookmarkStart w:id="21" w:name="abstract"/>
    <w:p>
      <w:pPr>
        <w:pStyle w:val="Heading1"/>
      </w:pPr>
      <w:r>
        <w:t xml:space="preserve">Abstract</w:t>
      </w:r>
    </w:p>
    <w:p>
      <w:pPr>
        <w:pStyle w:val="FirstParagraph"/>
      </w:pPr>
      <w:r>
        <w:t xml:space="preserve">Deforestation often results in landscapes where remaining forest habitat is highly fragmented, with remnants of different sizes embedded in an often highly contrasting matrix.</w:t>
      </w:r>
      <w:r>
        <w:t xml:space="preserve"> </w:t>
      </w:r>
      <w:r>
        <w:t xml:space="preserve">Local extinction of species from individual fragments is common, but the demographic mechanisms underlying these extinctions are poorly understood.</w:t>
      </w:r>
      <w:r>
        <w:t xml:space="preserve"> </w:t>
      </w:r>
      <w:r>
        <w:t xml:space="preserve">It is often hypothesized that altered environmental conditions in fragments drive declines in reproduction, recruitment, or survivorship.</w:t>
      </w:r>
      <w:r>
        <w:t xml:space="preserve"> </w:t>
      </w:r>
      <w:r>
        <w:t xml:space="preserve">The Amazon basin, in addition to experiencing continuing fragmentation, is warming and experiencing changes in precipitation leading to altered frequency and intensity of droughts and unusually wet periods.</w:t>
      </w:r>
      <w:r>
        <w:t xml:space="preserve"> </w:t>
      </w:r>
      <w:r>
        <w:t xml:space="preserve">Whether plant populations in tropical forest fragments are particularly susceptible to extremes in precipitation remains unclear.</w:t>
      </w:r>
      <w:r>
        <w:t xml:space="preserve"> </w:t>
      </w:r>
      <w:r>
        <w:t xml:space="preserve">Most studies of plants in fragments are relatively short (1–6 years), focus on a single life-history stage, and often do not compare to populations in continuous forest.</w:t>
      </w:r>
      <w:r>
        <w:t xml:space="preserve"> </w:t>
      </w:r>
      <w:r>
        <w:t xml:space="preserve">Even fewer studies consider delayed effects of climate on demographic vital rates despite the importance of delayed effects in studies that consider them.</w:t>
      </w:r>
      <w:r>
        <w:t xml:space="preserve"> </w:t>
      </w:r>
      <w:r>
        <w:t xml:space="preserve">Using a decade of demographic and climate data from an experimentally fragmented landscape in the Central Amazon, we assess the effects of climate on populations of an understory herb (</w:t>
      </w:r>
      <w:r>
        <w:rPr>
          <w:iCs/>
          <w:i/>
        </w:rPr>
        <w:t xml:space="preserve">Heliconia acuminata</w:t>
      </w:r>
      <w:r>
        <w:t xml:space="preserve">, Heliconiaceae).</w:t>
      </w:r>
      <w:r>
        <w:t xml:space="preserve"> </w:t>
      </w:r>
      <w:r>
        <w:t xml:space="preserve">We used distributed lag non-linear models to understand the delayed effects of temperature and precipitation on survival, growth, and flowering.</w:t>
      </w:r>
      <w:r>
        <w:t xml:space="preserve"> </w:t>
      </w:r>
      <w:r>
        <w:t xml:space="preserve">We detected delayed effects of climate up to 36 months.</w:t>
      </w:r>
      <w:r>
        <w:t xml:space="preserve"> </w:t>
      </w:r>
      <w:r>
        <w:t xml:space="preserve">Drought two dry seasons prior to the February census decreased survival and increased flowering probability while drought in the wet season a year prior to the census decreased flowering probability and increased growth.</w:t>
      </w:r>
      <w:r>
        <w:t xml:space="preserve"> </w:t>
      </w:r>
      <w:r>
        <w:t xml:space="preserve">The effects of extremes in precipitation on survival and growth were more pronounced in forest fragments compared to continuous forest.</w:t>
      </w:r>
      <w:r>
        <w:t xml:space="preserve"> </w:t>
      </w:r>
      <w:r>
        <w:t xml:space="preserve">The complex delayed effects of climate and habitat fragmentation in our study point to the importance of long-term demography experiments in understanding the effects of anthropogenic change on plant populations.</w:t>
      </w:r>
    </w:p>
    <w:p>
      <w:r>
        <w:br w:type="page"/>
      </w:r>
    </w:p>
    <w:bookmarkEnd w:id="21"/>
    <w:bookmarkStart w:id="22" w:name="introduction"/>
    <w:p>
      <w:pPr>
        <w:pStyle w:val="Heading1"/>
      </w:pPr>
      <w:r>
        <w:t xml:space="preserve">Introduction</w:t>
      </w:r>
    </w:p>
    <w:p>
      <w:pPr>
        <w:pStyle w:val="FirstParagraph"/>
      </w:pPr>
      <w:r>
        <w:t xml:space="preserve">The expansion of agriculture and other human activities is a primary driver of deforestation in the tropics</w:t>
      </w:r>
      <w:r>
        <w:t xml:space="preserve"> </w:t>
      </w:r>
      <w:r>
        <w:t xml:space="preserve">(Alroy, 2017; Haddad et al., 2015)</w:t>
      </w:r>
      <w:r>
        <w:t xml:space="preserve">.</w:t>
      </w:r>
      <w:r>
        <w:t xml:space="preserve"> </w:t>
      </w:r>
      <w:r>
        <w:t xml:space="preserve">It also results in landscapes where the remaining forest can be highly fragmented, with patches of different sizes embedded in a matrix of often contrasting habitat</w:t>
      </w:r>
      <w:r>
        <w:t xml:space="preserve"> </w:t>
      </w:r>
      <w:r>
        <w:t xml:space="preserve">(Bianchi &amp; Haig, 2013; Taubert et al., 2018)</w:t>
      </w:r>
      <w:r>
        <w:t xml:space="preserve">.</w:t>
      </w:r>
      <w:r>
        <w:t xml:space="preserve"> </w:t>
      </w:r>
      <w:r>
        <w:t xml:space="preserve">This fragmentation is associated with myriad ecological changes, including the local and regional extinction of plant species</w:t>
      </w:r>
      <w:r>
        <w:t xml:space="preserve"> </w:t>
      </w:r>
      <w:r>
        <w:t xml:space="preserve">(da Silva &amp; Tabarelli, 2000;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tropical forest fragments</w:t>
      </w:r>
      <w:r>
        <w:t xml:space="preserve"> </w:t>
      </w:r>
      <w:r>
        <w:t xml:space="preserve">(Arroyo-Rodríguez et al., 2017; Didham &amp; Lawton, 1999; Ewers &amp; Banks-Leite, 2013)</w:t>
      </w:r>
      <w:r>
        <w:t xml:space="preserve"> </w:t>
      </w:r>
      <w:r>
        <w:t xml:space="preserve">drive declines in plant reproduction, recruitment, or survivorship</w:t>
      </w:r>
      <w:r>
        <w:t xml:space="preserve"> </w:t>
      </w:r>
      <w:r>
        <w:t xml:space="preserve">(Bruna, 1999; Laurance et al., 1998; Zartman et al., 2015)</w:t>
      </w:r>
      <w:r>
        <w:t xml:space="preserve">.</w:t>
      </w:r>
      <w:r>
        <w:t xml:space="preserve"> </w:t>
      </w:r>
      <w:r>
        <w:t xml:space="preserve">Despite the prevalence of this hypothesis</w:t>
      </w:r>
      <w:r>
        <w:t xml:space="preserve"> </w:t>
      </w:r>
      <w:r>
        <w:t xml:space="preserve">(Betts et al., 2019; Didham &amp; Lawton, 1999; Laurance et al., 2001)</w:t>
      </w:r>
      <w:r>
        <w:t xml:space="preserve">, efforts to link population-level demographic responses with altered environmental conditions in fragments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and that the effects of climate change could be more pronounced when habitat is fragmented</w:t>
      </w:r>
      <w:r>
        <w:t xml:space="preserve"> </w:t>
      </w:r>
      <w:r>
        <w:t xml:space="preserve">(Holyoak &amp; Heath, 2016; Oliver et al., 2015)</w:t>
      </w:r>
      <w:r>
        <w:t xml:space="preserve">.</w:t>
      </w:r>
      <w:r>
        <w:t xml:space="preserve"> </w:t>
      </w:r>
      <w:r>
        <w:t xml:space="preserve">While the demographic consequences of climate change for tropical species are expected to be similarly severe</w:t>
      </w:r>
      <w:r>
        <w:t xml:space="preserve"> </w:t>
      </w:r>
      <w:r>
        <w:t xml:space="preserve">(Brodie et al., 2012; Scheffers et al., 2017)</w:t>
      </w:r>
      <w:r>
        <w:t xml:space="preserve">, surprisingly little is known about the responses of these species to climatic variability</w:t>
      </w:r>
      <w:r>
        <w:t xml:space="preserve"> </w:t>
      </w:r>
      <w:r>
        <w:t xml:space="preserve">(Paniw et al., 2021)</w:t>
      </w:r>
      <w:r>
        <w:t xml:space="preserve">.</w:t>
      </w:r>
      <w:r>
        <w:t xml:space="preserve"> </w:t>
      </w:r>
      <w:r>
        <w:t xml:space="preserve">Tropical plants may be particularly sensitive to climate change—they typically have narrow ranges of climatic tolerance</w:t>
      </w:r>
      <w:r>
        <w:t xml:space="preserve"> </w:t>
      </w:r>
      <w:r>
        <w:t xml:space="preserve">(Feeley et al., 2012)</w:t>
      </w:r>
      <w:r>
        <w:t xml:space="preserve">, and recent results suggest increases in the frequency and severity of extreme precipitation events reduce survival and reproduction</w:t>
      </w:r>
      <w:r>
        <w:t xml:space="preserve"> </w:t>
      </w:r>
      <w:r>
        <w:t xml:space="preserve">(Esteban et al., 2021; Gaoue et al., 2019)</w:t>
      </w:r>
      <w:r>
        <w:t xml:space="preserve">.</w:t>
      </w:r>
      <w:r>
        <w:t xml:space="preserve"> </w:t>
      </w:r>
      <w:r>
        <w:t xml:space="preserve">This sensitivity to climatic fluctuations, coupled with evidence that plant growth and survivorship are lower in fragments</w:t>
      </w:r>
      <w:r>
        <w:t xml:space="preserve"> </w:t>
      </w:r>
      <w:r>
        <w:t xml:space="preserve">(Bruna et al., 2002; Laurance et al., 1998; Zartman et al., 2015)</w:t>
      </w:r>
      <w:r>
        <w:t xml:space="preserve">, has led to speculation that plants in forest fragments will be especially susceptible to climate change</w:t>
      </w:r>
      <w:r>
        <w:t xml:space="preserve"> </w:t>
      </w:r>
      <w:r>
        <w:t xml:space="preserve">(Laurance et al., 2001; Opdam &amp; Wascher, 2004; Selwood et al., 2015)</w:t>
      </w:r>
      <w:r>
        <w:t xml:space="preserve">.</w:t>
      </w:r>
    </w:p>
    <w:p>
      <w:pPr>
        <w:pStyle w:val="BodyText"/>
      </w:pPr>
      <w:r>
        <w:t xml:space="preserve">Whether the demography of plant populations in tropical forest fragments is more susceptible to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Second, there is a growing literature on how tropical plants respond to droughts</w:t>
      </w:r>
      <w:r>
        <w:t xml:space="preserve"> </w:t>
      </w:r>
      <w:r>
        <w:t xml:space="preserve">(Esquivel-Muelbert et al., 2019; González-M et al., 2020; Uriarte et al., 2016)</w:t>
      </w:r>
      <w:r>
        <w:t xml:space="preserve">, but few studies have compared the responses of plants in continuous forest with those of plants in forest fragments</w:t>
      </w:r>
      <w:r>
        <w:t xml:space="preserve"> </w:t>
      </w:r>
      <w:r>
        <w:t xml:space="preserve">(Laurance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2"/>
    <w:bookmarkStart w:id="30" w:name="methods"/>
    <w:p>
      <w:pPr>
        <w:pStyle w:val="Heading1"/>
      </w:pPr>
      <w:r>
        <w:t xml:space="preserve">Methods</w:t>
      </w:r>
    </w:p>
    <w:bookmarkStart w:id="23"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w:t>
      </w:r>
    </w:p>
    <w:bookmarkEnd w:id="23"/>
    <w:bookmarkStart w:id="24"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r>
        <w:t xml:space="preserve"> </w:t>
      </w: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(Uriarte et al., 2011)</w:t>
      </w:r>
      <w:r>
        <w:t xml:space="preserve">.</w:t>
      </w:r>
      <w:r>
        <w:t xml:space="preserve"> </w:t>
      </w:r>
      <w:r>
        <w:t xml:space="preserve">Dispersed seeds germinate approximately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4"/>
    <w:bookmarkStart w:id="25" w:name="demographic-data-collection"/>
    <w:p>
      <w:pPr>
        <w:pStyle w:val="Heading2"/>
      </w:pPr>
      <w:r>
        <w:t xml:space="preserve">Demographic data collection</w:t>
      </w:r>
    </w:p>
    <w:p>
      <w:pPr>
        <w:pStyle w:val="FirstParagraph"/>
      </w:pPr>
      <w:r>
        <w:t xml:space="preserve">This study uses data collected in four 1-ha fragment reserves and six continuous forest sites.</w:t>
      </w:r>
      <w:r>
        <w:t xml:space="preserve"> </w:t>
      </w:r>
      <w:r>
        <w:t xml:space="preserve">In 1997–1998 we established a 5000 m</w:t>
      </w:r>
      <w:r>
        <w:rPr>
          <w:vertAlign w:val="superscript"/>
        </w:rPr>
        <w:t xml:space="preserve">2</w:t>
      </w:r>
      <w:r>
        <w:t xml:space="preserve"> </w:t>
      </w:r>
      <w:r>
        <w:t xml:space="preserve">plots (</w:t>
      </w:r>
      <m:oMath>
        <m:r>
          <m:t>50</m:t>
        </m:r>
        <m:r>
          <m:rPr>
            <m:sty m:val="p"/>
          </m:rPr>
          <m:t>×</m:t>
        </m:r>
        <m:r>
          <m:t>100</m:t>
        </m:r>
      </m:oMath>
      <w:r>
        <w:t xml:space="preserve">m) in each of these sites in which we marked and measured all</w:t>
      </w:r>
      <w:r>
        <w:t xml:space="preserve"> </w:t>
      </w:r>
      <w:r>
        <w:rPr>
          <w:iCs/>
          <w:i/>
        </w:rPr>
        <w:t xml:space="preserve">Heliconia acuminata</w:t>
      </w:r>
      <w:r>
        <w:t xml:space="preserve">; plots in 1-ha fragments were on one randomly selected half of the fragment, while plots in continuous forest were located 500–4000 m from the borders of secondary and mature forest.</w:t>
      </w:r>
      <w:r>
        <w:t xml:space="preserve"> </w:t>
      </w:r>
      <w:r>
        <w:t xml:space="preserve">The distance between plots ranged from 500 m–41 km.</w:t>
      </w:r>
      <w:r>
        <w:t xml:space="preserve"> </w:t>
      </w:r>
      <w:r>
        <w:t xml:space="preserve">Our dataset comprised 4,886 plants in continuous forest and 1,375 plants in forest fragments.</w:t>
      </w:r>
      <w:r>
        <w:t xml:space="preserve"> </w:t>
      </w:r>
      <w:r>
        <w:t xml:space="preserve">Plots in CF had on average 2.7-fold more plants than plots in 1-ha fragments (CF = 681 ± 493 SD; 1-ha = 253 ± 30 SD).</w:t>
      </w:r>
    </w:p>
    <w:p>
      <w:pPr>
        <w:pStyle w:val="BodyText"/>
      </w:pPr>
      <w:r>
        <w:t xml:space="preserve">Each plot was subdivided into 50 quadrats (</w:t>
      </w:r>
      <m:oMath>
        <m:r>
          <m:t>10</m:t>
        </m:r>
        <m:r>
          <m:rPr>
            <m:sty m:val="p"/>
          </m:rPr>
          <m:t>×</m:t>
        </m:r>
        <m:r>
          <m:t>10</m:t>
        </m:r>
      </m:oMath>
      <w:r>
        <w:t xml:space="preserve">m) to simplify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 In this study, we used the product of shoot number and plant height as our measure of plant size. 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location of plots, survey methods, and</w:t>
      </w:r>
      <w:r>
        <w:t xml:space="preserve"> </w:t>
      </w:r>
      <w:r>
        <w:rPr>
          <w:iCs/>
          <w:i/>
        </w:rPr>
        <w:t xml:space="preserve">H. acuminata</w:t>
      </w:r>
      <w:r>
        <w:t xml:space="preserve"> </w:t>
      </w:r>
      <w:r>
        <w:t xml:space="preserve">population structure see</w:t>
      </w:r>
      <w:r>
        <w:t xml:space="preserve"> </w:t>
      </w:r>
      <w:r>
        <w:t xml:space="preserve">Bruna &amp; Kress (2002)</w:t>
      </w:r>
      <w:r>
        <w:t xml:space="preserve">.</w:t>
      </w:r>
    </w:p>
    <w:bookmarkEnd w:id="25"/>
    <w:bookmarkStart w:id="26"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w:t>
      </w:r>
      <w:r>
        <w:t xml:space="preserve"> </w:t>
      </w:r>
      <w:r>
        <w:t xml:space="preserve">(Beguería &amp; Vicente-Serrano, 2017)</w:t>
      </w:r>
      <w:r>
        <w:t xml:space="preserve">.</w:t>
      </w:r>
      <w:r>
        <w:t xml:space="preserve"> </w:t>
      </w:r>
      <w:r>
        <w:t xml:space="preserve">The timing of drought events based on these SPEI calculations is consistent with that resulting from SPEI calculated with other data sources, though the magnitude of drought sometimes differed (Figure S2; Table S1</w:t>
      </w:r>
      <w:r>
        <w:t xml:space="preserve"> </w:t>
      </w:r>
      <w:r>
        <w:t xml:space="preserve">).</w:t>
      </w:r>
    </w:p>
    <w:bookmarkEnd w:id="26"/>
    <w:bookmarkStart w:id="29"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w:t>
      </w:r>
      <w:r>
        <w:t xml:space="preserve"> </w:t>
      </w:r>
      <w:r>
        <w:t xml:space="preserve">(DLNMs, 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7"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j</m:t>
                </m:r>
              </m:e>
            </m:mr>
          </m:m>
          <m:r>
            <m:t>  </m:t>
          </m:r>
          <m:d>
            <m:dPr>
              <m:begChr m:val="("/>
              <m:endChr m:val=")"/>
              <m:grow/>
            </m:dPr>
            <m:e>
              <m:r>
                <m:t>1</m:t>
              </m:r>
            </m:e>
          </m:d>
        </m:oMath>
      </m:oMathPara>
      <w:bookmarkEnd w:id="27"/>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8"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8"/>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r>
        <w:t xml:space="preserve"> </w:t>
      </w:r>
      <w:r>
        <w:t xml:space="preserve">Additionally, in models for flowering probability and size, we included plant ID as a random effect to account for variation among individuals.</w:t>
      </w:r>
      <w:r>
        <w:t xml:space="preserve"> </w:t>
      </w:r>
      <w:r>
        <w:t xml:space="preserve">Preliminary analyses showed that this random effect was not significant in the growth models (edf ~ 0, p &gt; 0.2) and as such it was dropped to improve computational efficiency.</w:t>
      </w:r>
      <w:r>
        <w:t xml:space="preserve"> </w:t>
      </w:r>
      <w:r>
        <w:t xml:space="preserve">A random effect of plant ID was not included in survival models since each plant only dies once.</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the modeling of interaction terms, which means we could not asses the interaction of habitat type and lagged effects.</w:t>
      </w:r>
      <w:r>
        <w:t xml:space="preserve"> </w:t>
      </w:r>
      <w:r>
        <w:t xml:space="preserve">We therefore fit separate models for plants in fragments and in continuous forest to allow the shape of the crossbasis function to differ between habitats.</w:t>
      </w:r>
      <w:r>
        <w:t xml:space="preserve"> </w:t>
      </w:r>
      <w:r>
        <w:t xml:space="preserve">Significant main effects of habitat type were assessed by looking for overlap in the 84% confidence intervals of model intercepts; the 84% CIs of two samples drawn from the same population overlap about 95% of the time</w:t>
      </w:r>
      <w:r>
        <w:t xml:space="preserve"> </w:t>
      </w:r>
      <w:r>
        <w:t xml:space="preserve">(Payton et al., 2003)</w:t>
      </w:r>
      <w:r>
        <w:t xml:space="preserve">.</w:t>
      </w:r>
    </w:p>
    <w:p>
      <w:pPr>
        <w:pStyle w:val="BodyText"/>
      </w:pPr>
      <w:r>
        <w:t xml:space="preserve">All analyses were conducted in R version 4.0.2 (2020-06-22)</w:t>
      </w:r>
      <w:r>
        <w:t xml:space="preserve"> </w:t>
      </w:r>
      <w:r>
        <w:t xml:space="preserve">(R Core Team, 2020)</w:t>
      </w:r>
      <w:r>
        <w:t xml:space="preserve"> </w:t>
      </w:r>
      <w:r>
        <w:t xml:space="preserve">using the</w:t>
      </w:r>
      <w:r>
        <w:t xml:space="preserve"> </w:t>
      </w:r>
      <w:r>
        <w:rPr>
          <w:rStyle w:val="VerbatimChar"/>
        </w:rPr>
        <w:t xml:space="preserve">targets</w:t>
      </w:r>
      <w:r>
        <w:t xml:space="preserve"> </w:t>
      </w:r>
      <w:r>
        <w:t xml:space="preserve">package for workflow management</w:t>
      </w:r>
      <w:r>
        <w:t xml:space="preserve"> </w:t>
      </w:r>
      <w:r>
        <w:t xml:space="preserve">(Landau, 2021)</w:t>
      </w:r>
      <w:r>
        <w:t xml:space="preserve">.</w:t>
      </w:r>
      <w:r>
        <w:t xml:space="preserve"> </w:t>
      </w:r>
      <w:r>
        <w:t xml:space="preserve">Figures were created with the aid of the</w:t>
      </w:r>
      <w:r>
        <w:t xml:space="preserve"> </w:t>
      </w:r>
      <w:r>
        <w:rPr>
          <w:rStyle w:val="VerbatimChar"/>
        </w:rPr>
        <w:t xml:space="preserve">gratia</w:t>
      </w:r>
      <w:r>
        <w:t xml:space="preserve">,</w:t>
      </w:r>
      <w:r>
        <w:t xml:space="preserve"> </w:t>
      </w:r>
      <w:r>
        <w:rPr>
          <w:rStyle w:val="VerbatimChar"/>
        </w:rPr>
        <w:t xml:space="preserve">ggplot2</w:t>
      </w:r>
      <w:r>
        <w:t xml:space="preserve">, and</w:t>
      </w:r>
      <w:r>
        <w:t xml:space="preserve"> </w:t>
      </w:r>
      <w:r>
        <w:rPr>
          <w:rStyle w:val="VerbatimChar"/>
        </w:rPr>
        <w:t xml:space="preserve">patchwork</w:t>
      </w:r>
      <w:r>
        <w:t xml:space="preserve"> </w:t>
      </w:r>
      <w:r>
        <w:t xml:space="preserve">packages</w:t>
      </w:r>
      <w:r>
        <w:t xml:space="preserve"> </w:t>
      </w:r>
      <w:r>
        <w:t xml:space="preserve">(Pedersen, 2020; Simpson, 2021; Wickham, 2016)</w:t>
      </w:r>
      <w:r>
        <w:t xml:space="preserve">.</w:t>
      </w:r>
    </w:p>
    <w:bookmarkEnd w:id="29"/>
    <w:bookmarkEnd w:id="30"/>
    <w:bookmarkStart w:id="33" w:name="results"/>
    <w:p>
      <w:pPr>
        <w:pStyle w:val="Heading1"/>
      </w:pPr>
      <w:r>
        <w:t xml:space="preserve">Results</w:t>
      </w:r>
    </w:p>
    <w:p>
      <w:pPr>
        <w:pStyle w:val="FirstParagraph"/>
      </w:pPr>
      <w:r>
        <w:t xml:space="preserve">The meteorological droughts in our focal region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1" w:name="X0298649a63b4ec17841dba9b766e96494c4e63b"/>
    <w:p>
      <w:pPr>
        <w:pStyle w:val="Heading2"/>
      </w:pPr>
      <w:r>
        <w:t xml:space="preserve">Survival, growth, and flowering in continuous forest vs. fragments</w:t>
      </w:r>
    </w:p>
    <w:p>
      <w:pPr>
        <w:pStyle w:val="FirstParagraph"/>
      </w:pPr>
      <w:r>
        <w:rPr>
          <w:iCs/>
          <w:i/>
        </w:rPr>
        <w:t xml:space="preserve">Survival:</w:t>
      </w:r>
      <w:r>
        <w:t xml:space="preserve"> </w:t>
      </w:r>
      <w:r>
        <w:t xml:space="preserve">Across all plots, the proportion of plants surviving was lowest in the 2003–2004 transition year (</w:t>
      </w:r>
      <m:oMath>
        <m:sSub>
          <m:e>
            <m:r>
              <m:t>P</m:t>
            </m:r>
          </m:e>
          <m:sub>
            <m:r>
              <m:t>s</m:t>
            </m:r>
            <m:r>
              <m:t>u</m:t>
            </m:r>
            <m:r>
              <m:t>r</m:t>
            </m:r>
            <m:r>
              <m:t>v</m:t>
            </m:r>
          </m:sub>
        </m:sSub>
        <m:r>
          <m:rPr>
            <m:sty m:val="p"/>
          </m:rPr>
          <m:t>=</m:t>
        </m:r>
        <m:r>
          <m:t>0.92</m:t>
        </m:r>
      </m:oMath>
      <w:r>
        <w:t xml:space="preserve">).</w:t>
      </w:r>
      <w:r>
        <w:t xml:space="preserve"> </w:t>
      </w:r>
      <w:r>
        <w:t xml:space="preserve">This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The lowest survival for continuous forest was in 2004 (</w:t>
      </w:r>
      <m:oMath>
        <m:sSub>
          <m:e>
            <m:r>
              <m:t>P</m:t>
            </m:r>
          </m:e>
          <m:sub>
            <m:r>
              <m:t>s</m:t>
            </m:r>
            <m:r>
              <m:t>u</m:t>
            </m:r>
            <m:r>
              <m:t>r</m:t>
            </m:r>
            <m:r>
              <m:t>v</m:t>
            </m:r>
          </m:sub>
        </m:sSub>
        <m:r>
          <m:rPr>
            <m:sty m:val="p"/>
          </m:rPr>
          <m:t>=</m:t>
        </m:r>
        <m:r>
          <m:t>0.91</m:t>
        </m:r>
      </m:oMath>
      <w:r>
        <w:t xml:space="preserve">).</w:t>
      </w:r>
      <w:r>
        <w:t xml:space="preserve"> </w:t>
      </w:r>
      <w:r>
        <w:t xml:space="preserve">When summarizing across years, plots, and plant sizes, the survival probability of</w:t>
      </w:r>
      <w:r>
        <w:t xml:space="preserve"> </w:t>
      </w:r>
      <w:r>
        <w:rPr>
          <w:iCs/>
          <w:i/>
        </w:rPr>
        <w:t xml:space="preserve">Heliconia acuminata</w:t>
      </w:r>
      <w:r>
        <w:t xml:space="preserve"> </w:t>
      </w:r>
      <w:r>
        <w:t xml:space="preserve">was similarly high in both continuous forest and fragments (</w:t>
      </w:r>
      <m:oMath>
        <m:sSub>
          <m:e>
            <m:r>
              <m:t>P</m:t>
            </m:r>
          </m:e>
          <m:sub>
            <m:r>
              <m:t>s</m:t>
            </m:r>
            <m:r>
              <m:t>u</m:t>
            </m:r>
            <m:r>
              <m:t>r</m:t>
            </m:r>
            <m:r>
              <m:t>v</m:t>
            </m:r>
          </m:sub>
        </m:sSub>
        <m:r>
          <m:rPr>
            <m:sty m:val="p"/>
          </m:rPr>
          <m:t>=</m:t>
        </m:r>
        <m:r>
          <m:t>0.95</m:t>
        </m:r>
      </m:oMath>
      <w:r>
        <w:t xml:space="preserve">; Figure</w:t>
      </w:r>
      <w:r>
        <w:t xml:space="preserve"> </w:t>
      </w:r>
      <w:r>
        <w:t xml:space="preserve">1</w:t>
      </w:r>
      <w:r>
        <w:t xml:space="preserve">b; the overlapping 85% CI of model intercepts indicate no significant difference).</w:t>
      </w:r>
      <w:r>
        <w:t xml:space="preserve"> </w:t>
      </w:r>
      <w:r>
        <w:t xml:space="preserve">However, survival in both habitats was size dependent (</w:t>
      </w:r>
      <m:oMath>
        <m:r>
          <m:t>p</m:t>
        </m:r>
        <m:r>
          <m:rPr>
            <m:sty m:val="p"/>
          </m:rPr>
          <m:t>&lt;</m:t>
        </m:r>
        <m:r>
          <m:t>0.001</m:t>
        </m:r>
      </m:oMath>
      <w:r>
        <w:t xml:space="preserve"> </w:t>
      </w:r>
      <w:r>
        <w:t xml:space="preserve">for the effect of log-transformed plant size in year</w:t>
      </w:r>
      <w:r>
        <w:t xml:space="preserve"> </w:t>
      </w:r>
      <w:r>
        <w:rPr>
          <w:iCs/>
          <w:i/>
        </w:rPr>
        <w:t xml:space="preserve">t</w:t>
      </w:r>
      <w:r>
        <w:t xml:space="preserve"> </w:t>
      </w:r>
      <w:r>
        <w:t xml:space="preserve">on survival in year</w:t>
      </w:r>
      <w:r>
        <w:t xml:space="preserve"> </w:t>
      </w:r>
      <w:r>
        <w:rPr>
          <w:iCs/>
          <w:i/>
        </w:rPr>
        <w:t xml:space="preserve">t+1</w:t>
      </w:r>
      <w:r>
        <w:t xml:space="preserve"> </w:t>
      </w:r>
      <w:r>
        <w:t xml:space="preserve">in both habitats).</w:t>
      </w:r>
      <w:r>
        <w:t xml:space="preserve"> </w:t>
      </w:r>
      <w:r>
        <w:t xml:space="preserve">The survival probability of large plants approached 1 in both habitat types (Figure</w:t>
      </w:r>
      <w:r>
        <w:t xml:space="preserve"> </w:t>
      </w:r>
      <w:r>
        <w:t xml:space="preserve">3</w:t>
      </w:r>
      <w:r>
        <w:t xml:space="preserve">b), but the smallest plants had higher survival in 1-ha fragments.</w:t>
      </w:r>
    </w:p>
    <w:p>
      <w:pPr>
        <w:pStyle w:val="BodyText"/>
      </w:pPr>
      <w:r>
        <w:rPr>
          <w:iCs/>
          <w:i/>
        </w:rPr>
        <w:t xml:space="preserve">Growth:</w:t>
      </w:r>
      <w:r>
        <w:t xml:space="preserve"> </w:t>
      </w: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our proxy for plant size was the product of these two metrics, plants in continuous forest were on average 34% larger than those in forest fragments (150 ± 175 SD vs. 112 ± 141 SD, respectively), with fragments having proportionately fewer large plants (Figure</w:t>
      </w:r>
      <w:r>
        <w:t xml:space="preserve"> </w:t>
      </w:r>
      <w:r>
        <w:t xml:space="preserve">3</w:t>
      </w:r>
      <w:r>
        <w:t xml:space="preserve">d).</w:t>
      </w:r>
      <w:r>
        <w:t xml:space="preserve"> </w:t>
      </w:r>
      <w:r>
        <w:t xml:space="preserve">This difference was not significant, however (overlap in 84% CI of model intercepts), and the disparity in plant size—which was most pronounced in the initial years of our surveys—diminished over time (Figure</w:t>
      </w:r>
      <w:r>
        <w:t xml:space="preserve"> </w:t>
      </w:r>
      <w:r>
        <w:t xml:space="preserve">1</w:t>
      </w:r>
      <w:r>
        <w:t xml:space="preserve">a).</w:t>
      </w:r>
    </w:p>
    <w:p>
      <w:pPr>
        <w:pStyle w:val="BodyText"/>
      </w:pP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3</w:t>
      </w:r>
      <w:r>
        <w:t xml:space="preserve">a).</w:t>
      </w:r>
    </w:p>
    <w:p>
      <w:pPr>
        <w:pStyle w:val="BodyText"/>
      </w:pPr>
      <w:r>
        <w:rPr>
          <w:iCs/>
          <w:i/>
        </w:rPr>
        <w:t xml:space="preserve">Flowering:</w:t>
      </w:r>
      <w:r>
        <w:t xml:space="preserve"> </w:t>
      </w:r>
      <w:r>
        <w:t xml:space="preserve">The overall proportion of plants that flowered was very low.</w:t>
      </w:r>
      <w:r>
        <w:t xml:space="preserve"> </w:t>
      </w:r>
      <w:r>
        <w:t xml:space="preserve">While it was 27% higher in continuous forest than 1-ha fragments (0.046 ± 0.209 vs. 0.035 ± 0.184, respectively), this difference was not statistically significant (84% CIs of model intercepts overlapped).</w:t>
      </w:r>
      <w:r>
        <w:t xml:space="preserve"> </w:t>
      </w:r>
      <w:r>
        <w:t xml:space="preserve">The observed disparity was largely due to the fact that flowering is also size-dependent (</w:t>
      </w:r>
      <m:oMath>
        <m:r>
          <m:t>p</m:t>
        </m:r>
        <m:r>
          <m:rPr>
            <m:sty m:val="p"/>
          </m:rPr>
          <m:t>&lt;</m:t>
        </m:r>
        <m:r>
          <m:t>0.001</m:t>
        </m:r>
      </m:oMath>
      <w:r>
        <w:t xml:space="preserve"> </w:t>
      </w:r>
      <w:r>
        <w:t xml:space="preserve">in both habitats), with the probability of flowering increasing dramatically once plants reached the threshold size of about 148 (i.e., log(size) &gt; 5 in Figure</w:t>
      </w:r>
      <w:r>
        <w:t xml:space="preserve"> </w:t>
      </w:r>
      <w:r>
        <w:t xml:space="preserve">3</w:t>
      </w:r>
      <w:r>
        <w:t xml:space="preserve">c).</w:t>
      </w:r>
      <w:r>
        <w:t xml:space="preserve"> </w:t>
      </w:r>
      <w:r>
        <w:t xml:space="preserve">Despite the flowering probability of large plants being greater in fragments than continuous forest, populations in fragments had proportionately fewer plants above the reproductive size threshold (Figure</w:t>
      </w:r>
      <w:r>
        <w:t xml:space="preserve"> </w:t>
      </w:r>
      <w:r>
        <w:t xml:space="preserve">3</w:t>
      </w:r>
      <w:r>
        <w:t xml:space="preserve">d).</w:t>
      </w:r>
      <w:r>
        <w:t xml:space="preserve"> </w:t>
      </w:r>
      <w:r>
        <w:t xml:space="preserve">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1"/>
    <w:bookmarkStart w:id="32" w:name="X6dd1d867d94c602f9192bc61b904a4ff4b78b2f"/>
    <w:p>
      <w:pPr>
        <w:pStyle w:val="Heading2"/>
      </w:pPr>
      <w:r>
        <w:t xml:space="preserve">Delayed effects of drought on demographic vital rates</w:t>
      </w:r>
    </w:p>
    <w:p>
      <w:pPr>
        <w:pStyle w:val="FirstParagraph"/>
      </w:pPr>
      <w:r>
        <w:t xml:space="preserve">Drought history had a significant (</w:t>
      </w:r>
      <m:oMath>
        <m:r>
          <m:t>p</m:t>
        </m:r>
        <m:r>
          <m:rPr>
            <m:sty m:val="p"/>
          </m:rPr>
          <m:t>&lt;</m:t>
        </m:r>
        <m:r>
          <m:t>0.001</m:t>
        </m:r>
      </m:oMath>
      <w:r>
        <w:t xml:space="preserve">) effect on the survival, growth, and flowering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rPr>
          <w:iCs/>
          <w:i/>
        </w:rPr>
        <w:t xml:space="preserve">Survival:</w:t>
      </w:r>
      <w:r>
        <w:t xml:space="preserve"> </w:t>
      </w:r>
      <w:r>
        <w:t xml:space="preserve">For 1-ha fragments, there was a significant effect on survival of SPEI in the preceding 13 months.</w:t>
      </w:r>
      <w:r>
        <w:t xml:space="preserve"> </w:t>
      </w:r>
      <w:r>
        <w:t xml:space="preserve">The highest survival was near SPEI of 0, with mortality increasing as conditions became either drier or wetter (i.e., as SPEI values became increasingly negative or positive, respectively; Figure</w:t>
      </w:r>
      <w:r>
        <w:t xml:space="preserve"> </w:t>
      </w:r>
      <w:r>
        <w:t xml:space="preserve">4</w:t>
      </w:r>
      <w:r>
        <w:t xml:space="preserve">b).</w:t>
      </w:r>
      <w:r>
        <w:t xml:space="preserve"> </w:t>
      </w:r>
      <w:r>
        <w:t xml:space="preserve">Wet conditions in the preceding 23 months (i.e., SPEI &gt; 1) also had a significant negative effect on survival in fragments (Figure</w:t>
      </w:r>
      <w:r>
        <w:t xml:space="preserve"> </w:t>
      </w:r>
      <w:r>
        <w:t xml:space="preserve">4</w:t>
      </w:r>
      <w:r>
        <w:t xml:space="preserve">b).</w:t>
      </w:r>
      <w:r>
        <w:t xml:space="preserve"> </w:t>
      </w:r>
      <w:r>
        <w:t xml:space="preserve">In contrast, the effect of recent SPEI in continuous forest was weaker, with only the 6 months preceding a census having a significant effect on survival (Figure</w:t>
      </w:r>
      <w:r>
        <w:t xml:space="preserve"> </w:t>
      </w:r>
      <w:r>
        <w:t xml:space="preserve">4</w:t>
      </w:r>
      <w:r>
        <w:t xml:space="preserve">a).</w:t>
      </w:r>
      <w:r>
        <w:t xml:space="preserve"> </w:t>
      </w:r>
      <w:r>
        <w:t xml:space="preserve">These short-term effects of SPEI on survival were also unidirectional—the probability of survival declined, albeit only slightly, with increasingly negative values of SPEI (i.e., as droughts became more severe; Figure</w:t>
      </w:r>
      <w:r>
        <w:t xml:space="preserve"> </w:t>
      </w:r>
      <w:r>
        <w:t xml:space="preserve">4</w:t>
      </w:r>
      <w:r>
        <w:t xml:space="preserve">a).</w:t>
      </w:r>
      <w:r>
        <w:t xml:space="preserve"> </w:t>
      </w:r>
      <w:r>
        <w:t xml:space="preserve">In contrast, the most pronounced negative effects of SPEI on the survival of plants in continuous forest were at lag times of 15–20 months and 32–36 months.</w:t>
      </w:r>
      <w:r>
        <w:t xml:space="preserve"> </w:t>
      </w:r>
      <w:r>
        <w:t xml:space="preserve">Drought 15–20 months prior to a census (i.e. two dry seasons prior to a census) was significantly associated with reduced survival, while high precipitation (i.e., SPEI &gt; 1) was significantly associated with higher survival.</w:t>
      </w:r>
      <w:r>
        <w:t xml:space="preserve"> </w:t>
      </w:r>
      <w:r>
        <w:t xml:space="preserve">Finally, plants in both habitat types showed an increase in survival probability with very high SPEI values (i.e., extremely high precipitation) at a lag time of 32–36 months.</w:t>
      </w:r>
      <w:r>
        <w:t xml:space="preserve"> </w:t>
      </w:r>
      <w:r>
        <w:t xml:space="preserve">It should be noted, however, that only the first transition year of census data (1998–1999) met these conditions.</w:t>
      </w:r>
      <w:r>
        <w:t xml:space="preserve"> </w:t>
      </w:r>
      <w:r>
        <w:t xml:space="preserve">We compared the effects of SPEI history in continuous forest and fragments by subtracting the fitted values in Figure</w:t>
      </w:r>
      <w:r>
        <w:t xml:space="preserve"> </w:t>
      </w:r>
      <w:r>
        <w:t xml:space="preserve">4</w:t>
      </w:r>
      <w:r>
        <w:t xml:space="preserve">b from Figure</w:t>
      </w:r>
      <w:r>
        <w:t xml:space="preserve"> </w:t>
      </w:r>
      <w:r>
        <w:t xml:space="preserve">4</w:t>
      </w:r>
      <w:r>
        <w:t xml:space="preserve">a to produce Figure</w:t>
      </w:r>
      <w:r>
        <w:t xml:space="preserve"> </w:t>
      </w:r>
      <w:r>
        <w:t xml:space="preserve">4</w:t>
      </w:r>
      <w:r>
        <w:t xml:space="preserve">c.</w:t>
      </w:r>
      <w:r>
        <w:t xml:space="preserve"> </w:t>
      </w:r>
      <w:r>
        <w:t xml:space="preserve">This shows that in average conditions (SPEI = 0), there is little difference in survival probability between continuous forest and forest fragments (Figure</w:t>
      </w:r>
      <w:r>
        <w:t xml:space="preserve"> </w:t>
      </w:r>
      <w:r>
        <w:t xml:space="preserve">4</w:t>
      </w:r>
      <w:r>
        <w:t xml:space="preserve">c).</w:t>
      </w:r>
      <w:r>
        <w:t xml:space="preserve"> </w:t>
      </w:r>
      <w:r>
        <w:t xml:space="preserve">However, under extreme conditions, survival probability is higher in continuous forest by up to 0.025.</w:t>
      </w:r>
    </w:p>
    <w:p>
      <w:pPr>
        <w:pStyle w:val="BodyText"/>
      </w:pPr>
      <w:r>
        <w:rPr>
          <w:iCs/>
          <w:i/>
        </w:rPr>
        <w:t xml:space="preserve">Growth:</w:t>
      </w:r>
      <w:r>
        <w:t xml:space="preserve"> </w:t>
      </w:r>
      <w:r>
        <w:t xml:space="preserve">The effects of drought history on trends in plant size were generally similar for continuous forest and fragments.</w:t>
      </w:r>
      <w:r>
        <w:t xml:space="preserve"> </w:t>
      </w:r>
      <w:r>
        <w:t xml:space="preserve">However, the crossbasis function for 1-ha fragments indicated more complex responses in some situations (edf = 17.8 for 1-ha fragments; edf = 13.0 for continuous forest; see also Figure</w:t>
      </w:r>
      <w:r>
        <w:t xml:space="preserve"> </w:t>
      </w:r>
      <w:r>
        <w:t xml:space="preserve">5</w:t>
      </w:r>
      <w:r>
        <w:t xml:space="preserve">).</w:t>
      </w:r>
      <w:r>
        <w:t xml:space="preserve"> </w:t>
      </w:r>
      <w:r>
        <w:t xml:space="preserve">For example, under average conditions (i.e., SPEI = 0), growth is similar or slightly higher in continuous forest over all lag periods (Figure</w:t>
      </w:r>
      <w:r>
        <w:t xml:space="preserve"> </w:t>
      </w:r>
      <w:r>
        <w:t xml:space="preserve">5</w:t>
      </w:r>
      <w:r>
        <w:t xml:space="preserve">c).</w:t>
      </w:r>
      <w:r>
        <w:t xml:space="preserve"> </w:t>
      </w:r>
      <w:r>
        <w:t xml:space="preserve">However, the growth of plants in fragments is reduced when the current wet season is unusually wet (i.e., SPEI&gt;2), and as a result the plants in continuous forests will be larger by up to log(size) = 0.57.</w:t>
      </w:r>
      <w:r>
        <w:t xml:space="preserve"> </w:t>
      </w:r>
      <w:r>
        <w:t xml:space="preserve">In contrast, drought at lags of 8–11 months (i.e., the end of the preceding year’s wet season) led to increased growth in both habitats, with a more pronounced response in 1-ha fragments.</w:t>
      </w:r>
    </w:p>
    <w:p>
      <w:pPr>
        <w:pStyle w:val="BodyText"/>
      </w:pPr>
      <w:r>
        <w:rPr>
          <w:iCs/>
          <w:i/>
        </w:rPr>
        <w:t xml:space="preserve">Flowering:</w:t>
      </w:r>
      <w:r>
        <w:t xml:space="preserve"> </w:t>
      </w:r>
      <w:r>
        <w:t xml:space="preserve">Overall, the the probability of flowering was higher in continuous forest than in 1-ha fragments for all values of SPEI (Figure</w:t>
      </w:r>
      <w:r>
        <w:t xml:space="preserve"> </w:t>
      </w:r>
      <w:r>
        <w:t xml:space="preserve">6</w:t>
      </w:r>
      <w:r>
        <w:t xml:space="preserve">), although this difference was not significant (84% CIs of intercepts overlap).</w:t>
      </w:r>
      <w:r>
        <w:t xml:space="preserve"> </w:t>
      </w:r>
      <w:r>
        <w:t xml:space="preserve">The responses in 1-ha fragments were also more muted as indicated by the shape of the crossbasis function (1-ha edf = 8.3, continuous forest edf = 10.6) (Figure</w:t>
      </w:r>
      <w:r>
        <w:t xml:space="preserve"> </w:t>
      </w:r>
      <w:r>
        <w:t xml:space="preserve">6</w:t>
      </w:r>
      <w:r>
        <w:t xml:space="preserve">).</w:t>
      </w:r>
      <w:r>
        <w:t xml:space="preserve"> </w:t>
      </w:r>
      <w:r>
        <w:t xml:space="preserve">This led to some important inter-habitat differences in plant responses to prior droughts.</w:t>
      </w:r>
      <w:r>
        <w:t xml:space="preserve"> </w:t>
      </w:r>
      <w:r>
        <w:t xml:space="preserve">In continuous forests, recent drought (i.e., at lag = 0–2 with SPEI &lt; -1), drought two dry seasons prior (lags 15–20) and in the wet season 34–36 months prior all increased the probability of flowering.</w:t>
      </w:r>
      <w:r>
        <w:t xml:space="preserve"> </w:t>
      </w:r>
      <w:r>
        <w:t xml:space="preserve">However, drought at the end of the rainy season one year prior (lags 7–13) significantly reduced flowering probability (Figure</w:t>
      </w:r>
      <w:r>
        <w:t xml:space="preserve"> </w:t>
      </w:r>
      <w:r>
        <w:t xml:space="preserve">6</w:t>
      </w:r>
      <w:r>
        <w:t xml:space="preserve">a).</w:t>
      </w:r>
      <w:r>
        <w:t xml:space="preserve"> </w:t>
      </w:r>
      <w:r>
        <w:t xml:space="preserve">In fragments, recent drought had no significant effect on flowering probability and only drought at two dry seasons prior (lags 16–20) and in the wet season 33–36 months prior increased flowering probability (Figure</w:t>
      </w:r>
      <w:r>
        <w:t xml:space="preserve"> </w:t>
      </w:r>
      <w:r>
        <w:t xml:space="preserve">6</w:t>
      </w:r>
      <w:r>
        <w:t xml:space="preserve">b).</w:t>
      </w:r>
      <w:r>
        <w:t xml:space="preserve"> </w:t>
      </w:r>
      <w:r>
        <w:t xml:space="preserve">The effects of drought on flowering probability were strong in continuous forest compared to 1 ha fragments (Figure</w:t>
      </w:r>
      <w:r>
        <w:t xml:space="preserve"> </w:t>
      </w:r>
      <w:r>
        <w:t xml:space="preserve">6</w:t>
      </w:r>
      <w:r>
        <w:t xml:space="preserve">c).</w:t>
      </w:r>
      <w:r>
        <w:t xml:space="preserve"> </w:t>
      </w:r>
      <w:r>
        <w:t xml:space="preserve">We found no evidence for a cost of reproduction: in both forest and fragments, plants that had flowered in the previous year were on average more likely to be larger (CF:</w:t>
      </w:r>
      <w:r>
        <w:t xml:space="preserve"> </w:t>
      </w:r>
      <m:oMath>
        <m:r>
          <m:t>p</m:t>
        </m:r>
        <m:r>
          <m:rPr>
            <m:sty m:val="p"/>
          </m:rPr>
          <m:t>=</m:t>
        </m:r>
        <m:r>
          <m:t>0.048</m:t>
        </m:r>
      </m:oMath>
      <w:r>
        <w:t xml:space="preserve">; 1-ha:</w:t>
      </w:r>
      <w:r>
        <w:t xml:space="preserve"> </w:t>
      </w:r>
      <m:oMath>
        <m:r>
          <m:t>p</m:t>
        </m:r>
        <m:r>
          <m:rPr>
            <m:sty m:val="p"/>
          </m:rPr>
          <m:t>=</m:t>
        </m:r>
        <m:r>
          <m:t>0.030</m:t>
        </m:r>
      </m:oMath>
      <w:r>
        <w:t xml:space="preserve">) and flower again (CF:</w:t>
      </w:r>
      <w:r>
        <w:t xml:space="preserve"> </w:t>
      </w:r>
      <m:oMath>
        <m:r>
          <m:t>p</m:t>
        </m:r>
        <m:r>
          <m:rPr>
            <m:sty m:val="p"/>
          </m:rPr>
          <m:t>&lt;</m:t>
        </m:r>
        <m:r>
          <m:t>0.001</m:t>
        </m:r>
      </m:oMath>
      <w:r>
        <w:t xml:space="preserve">; 1-ha:</w:t>
      </w:r>
      <w:r>
        <w:t xml:space="preserve"> </w:t>
      </w:r>
      <m:oMath>
        <m:r>
          <m:t>p</m:t>
        </m:r>
        <m:r>
          <m:rPr>
            <m:sty m:val="p"/>
          </m:rPr>
          <m:t>=</m:t>
        </m:r>
        <m:r>
          <m:t>0.004</m:t>
        </m:r>
      </m:oMath>
      <w:r>
        <w:t xml:space="preserve">).</w:t>
      </w:r>
      <w:r>
        <w:t xml:space="preserve"> </w:t>
      </w:r>
      <w:r>
        <w:t xml:space="preserve">The random effect of plant ID on flowering probability was also significant (CF:</w:t>
      </w:r>
      <w:r>
        <w:t xml:space="preserve"> </w:t>
      </w:r>
      <m:oMath>
        <m:r>
          <m:t>p</m:t>
        </m:r>
        <m:r>
          <m:rPr>
            <m:sty m:val="p"/>
          </m:rPr>
          <m:t>&lt;</m:t>
        </m:r>
        <m:r>
          <m:t>0.001</m:t>
        </m:r>
      </m:oMath>
      <w:r>
        <w:t xml:space="preserve">; 1-ha:</w:t>
      </w:r>
      <w:r>
        <w:t xml:space="preserve"> </w:t>
      </w:r>
      <m:oMath>
        <m:r>
          <m:t>p</m:t>
        </m:r>
        <m:r>
          <m:rPr>
            <m:sty m:val="p"/>
          </m:rPr>
          <m:t>=</m:t>
        </m:r>
        <m:r>
          <m:t>0.003</m:t>
        </m:r>
      </m:oMath>
      <w:r>
        <w:t xml:space="preserve">), indicating significant individual-level variation in flowering probability.</w:t>
      </w:r>
    </w:p>
    <w:p>
      <w:pPr>
        <w:pStyle w:val="BodyText"/>
      </w:pPr>
      <w:r>
        <w:t xml:space="preserve">Finally, with the exception of survival in 1-ha fragments (</w:t>
      </w:r>
      <m:oMath>
        <m:r>
          <m:t>p</m:t>
        </m:r>
        <m:r>
          <m:rPr>
            <m:sty m:val="p"/>
          </m:rPr>
          <m:t>=</m:t>
        </m:r>
        <m:r>
          <m:t>0.253</m:t>
        </m:r>
      </m:oMath>
      <w:r>
        <w:t xml:space="preserve">), the delayed effects of SPEI on all three vital rates varied significantly among plots (</w:t>
      </w:r>
      <m:oMath>
        <m:r>
          <m:t>p</m:t>
        </m:r>
        <m:r>
          <m:rPr>
            <m:sty m:val="p"/>
          </m:rPr>
          <m:t>&lt;</m:t>
        </m:r>
        <m:r>
          <m:t>0.01</m:t>
        </m:r>
      </m:oMath>
      <w:r>
        <w:t xml:space="preserve"> </w:t>
      </w:r>
      <w:r>
        <w:t xml:space="preserve">for the random effect of plot).</w:t>
      </w:r>
    </w:p>
    <w:bookmarkEnd w:id="32"/>
    <w:bookmarkEnd w:id="33"/>
    <w:bookmarkStart w:id="37"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(Laurance &amp; Williamson, 2001; Opdam &amp; Wascher, 2004; Selwood et al., 2015)</w:t>
      </w:r>
      <w:r>
        <w:t xml:space="preserve"> </w:t>
      </w:r>
      <w:r>
        <w:t xml:space="preserve">are likely to be pervasive, but also far more complex than previously thought.</w:t>
      </w:r>
    </w:p>
    <w:bookmarkStart w:id="34" w:name="X3a355de2d331eab387e1cf5babe24db8f9038e8"/>
    <w:p>
      <w:pPr>
        <w:pStyle w:val="Heading2"/>
      </w:pPr>
      <w:r>
        <w:t xml:space="preserve">Temporal variation in demographic responses to forest fragmentation</w:t>
      </w:r>
    </w:p>
    <w:p>
      <w:pPr>
        <w:pStyle w:val="FirstParagraph"/>
      </w:pPr>
      <w:r>
        <w:t xml:space="preserve">Many studies investigating the biological consequences of habitat fragmentation on plant growth, survival, and reproduction comprise short-term (</w:t>
      </w:r>
      <w:r>
        <w:rPr>
          <w:u w:val="single"/>
        </w:rPr>
        <w:t xml:space="preserve">&lt;</w:t>
      </w:r>
      <w:r>
        <w:t xml:space="preserve">3 year) experiments and observations.</w:t>
      </w:r>
      <w:r>
        <w:t xml:space="preserve"> </w:t>
      </w:r>
      <w:r>
        <w:t xml:space="preserve">Our results underscore the difficulty in extrapolating long-term trends from such short-term studies, particularly when studying long-lived organisms or when the responses of interest can vary with size or age.</w:t>
      </w:r>
      <w:r>
        <w:t xml:space="preserve"> </w:t>
      </w:r>
      <w:r>
        <w:t xml:space="preserve">For instance, one would have reached a very different conclusion regarding the effect of fragmentation on annual survival if the study windows were 1999–2002 (i.e., higher survival in continuous forest), 2002–2005 (i.e., higher survival in fragments), or 2004–2007 (i.e, no clear effect of fragmentation) (Figure</w:t>
      </w:r>
      <w:r>
        <w:t xml:space="preserve"> </w:t>
      </w:r>
      <w:r>
        <w:t xml:space="preserve">1</w:t>
      </w:r>
      <w:r>
        <w:t xml:space="preserve">b).</w:t>
      </w:r>
      <w:r>
        <w:t xml:space="preserve"> </w:t>
      </w:r>
      <w:r>
        <w:t xml:space="preserve">It is only when evaluating over longer time windows that it becomes apparent mortality is elevated in fragments relative to continuous forest (Figure</w:t>
      </w:r>
      <w:r>
        <w:t xml:space="preserve"> </w:t>
      </w:r>
      <w:r>
        <w:t xml:space="preserve">2</w:t>
      </w:r>
      <w:r>
        <w:t xml:space="preserve">), and that the observed interannual variation is largely driven by dynamic patterns of recruitment</w:t>
      </w:r>
      <w:r>
        <w:t xml:space="preserve"> </w:t>
      </w:r>
      <w:r>
        <w:t xml:space="preserve">(Bruna, 2002)</w:t>
      </w:r>
      <w:r>
        <w:t xml:space="preserve"> </w:t>
      </w:r>
      <w:r>
        <w:t xml:space="preserve">coupled with low mortality for plants beyond the smallest size classes</w:t>
      </w:r>
      <w:r>
        <w:t xml:space="preserve"> </w:t>
      </w:r>
      <w:r>
        <w:t xml:space="preserve">(Bruna, 2003)</w:t>
      </w:r>
      <w:r>
        <w:t xml:space="preserve">.</w:t>
      </w:r>
    </w:p>
    <w:p>
      <w:pPr>
        <w:pStyle w:val="BodyText"/>
      </w:pPr>
      <w:r>
        <w:t xml:space="preserve">Similarly, conclusions regarding the effects of fragmentation on flowering—which is also both rare and size-dependent</w:t>
      </w:r>
      <w:r>
        <w:t xml:space="preserve"> </w:t>
      </w:r>
      <w:r>
        <w:t xml:space="preserve">(Brooks et al., 2019)</w:t>
      </w:r>
      <w:r>
        <w:t xml:space="preserve">—would also differ based on the year in which they were investigated.</w:t>
      </w:r>
      <w:r>
        <w:t xml:space="preserve"> </w:t>
      </w:r>
      <w:r>
        <w:t xml:space="preserve">This could lead to erroneous extrapolations regarding the effects of fragmentation on reproductive mutualists or population genetic structure</w:t>
      </w:r>
      <w:r>
        <w:t xml:space="preserve"> </w:t>
      </w:r>
      <w:r>
        <w:t xml:space="preserve">(Côrtes et al., 2013; Uriarte et al., 2010; Uriarte et al., 2011)</w:t>
      </w:r>
      <w:r>
        <w:t xml:space="preserve">.</w:t>
      </w:r>
      <w:r>
        <w:t xml:space="preserve"> </w:t>
      </w:r>
      <w:r>
        <w:t xml:space="preserve">Conclusions based on short-term observations of temporally variable vital rates could lead to conservation and management practices that are ineffective or even counterproductive, especially when when failing to consider how the consequences of this variation might be modulated by organismal life history</w:t>
      </w:r>
      <w:r>
        <w:t xml:space="preserve"> </w:t>
      </w:r>
      <w:r>
        <w:t xml:space="preserve">(Morris et al., 2008)</w:t>
      </w:r>
      <w:r>
        <w:t xml:space="preserve">.</w:t>
      </w:r>
    </w:p>
    <w:p>
      <w:pPr>
        <w:pStyle w:val="BodyText"/>
      </w:pPr>
      <w:r>
        <w:t xml:space="preserve">It is important to emphasize, however, that the overall effects of SPEI on survival and growth are more severe in fragments than continuous forest (Figures</w:t>
      </w:r>
      <w:r>
        <w:t xml:space="preserve"> </w:t>
      </w:r>
      <w:r>
        <w:t xml:space="preserve">4</w:t>
      </w:r>
      <w:r>
        <w:t xml:space="preserve">,</w:t>
      </w:r>
      <w:r>
        <w:t xml:space="preserve"> </w:t>
      </w:r>
      <w:r>
        <w:t xml:space="preserve">5</w:t>
      </w:r>
      <w:r>
        <w:t xml:space="preserve">).</w:t>
      </w:r>
      <w:r>
        <w:t xml:space="preserve"> </w:t>
      </w:r>
      <w:r>
        <w:t xml:space="preserve">Furthermore, the magnitude of plant responses to climatic extremes is also greater in habitat fragments—extreme drought in dry seasons and extreme precipitation in during rainy seasons are most detrimental to growth and survival in fragments.</w:t>
      </w:r>
      <w:r>
        <w:t xml:space="preserve"> </w:t>
      </w:r>
      <w:r>
        <w:t xml:space="preserve">While intact forest and its canopy buffer populations from climatic extremes, populations in fragments—especially near edges with high contrast matrix—likely lack this protection</w:t>
      </w:r>
      <w:r>
        <w:t xml:space="preserve"> </w:t>
      </w:r>
      <w:r>
        <w:t xml:space="preserve">(Didham &amp; Lawton, 1999; Ewers &amp; Banks-Leite, 2013)</w:t>
      </w:r>
      <w:r>
        <w:t xml:space="preserve">.</w:t>
      </w:r>
      <w:r>
        <w:t xml:space="preserve"> </w:t>
      </w:r>
      <w:r>
        <w:t xml:space="preserve">We suggest it is these climate extremes, rather than trends in average temperature, precipitation, or SPEI</w:t>
      </w:r>
      <w:r>
        <w:t xml:space="preserve"> </w:t>
      </w:r>
      <w:r>
        <w:t xml:space="preserve">(Laurance et al., 2014)</w:t>
      </w:r>
      <w:r>
        <w:t xml:space="preserve">, that that are the causal mechanism underlying reduced plant growth and survival in forest fragments.</w:t>
      </w:r>
    </w:p>
    <w:bookmarkEnd w:id="34"/>
    <w:bookmarkStart w:id="35" w:name="X59863ed4986d1622f189b45ac64fd89f4b5ea62"/>
    <w:p>
      <w:pPr>
        <w:pStyle w:val="Heading2"/>
      </w:pPr>
      <w:r>
        <w:t xml:space="preserve">Delayed effects of climate on demographic vital rates</w:t>
      </w:r>
    </w:p>
    <w:p>
      <w:pPr>
        <w:pStyle w:val="FirstParagraph"/>
      </w:pPr>
      <w:r>
        <w:t xml:space="preserve">Climate anomalies are known to have immediate effects on the growth, survival, or reproduction of plants</w:t>
      </w:r>
      <w:r>
        <w:t xml:space="preserve"> </w:t>
      </w:r>
      <w:r>
        <w:t xml:space="preserve">(Esteban et al., 2021;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 </w:t>
      </w:r>
      <w:r>
        <w:t xml:space="preserve">(Alfaro-Sánchez et al., 2017; Condit et al., 2004; Huete et al., 2006; Jones et al., 2014;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Wright et al., 1999)</w:t>
      </w:r>
      <w:r>
        <w:t xml:space="preserve">.</w:t>
      </w:r>
    </w:p>
    <w:p>
      <w:pPr>
        <w:pStyle w:val="BodyText"/>
      </w:pPr>
      <w:r>
        <w:t xml:space="preserve">Despite these insights, models of plant population dynamics rarely include the effects of environmental drivers [but see</w:t>
      </w:r>
      <w:r>
        <w:t xml:space="preserve"> </w:t>
      </w:r>
      <w:r>
        <w:t xml:space="preserve">Williams et al. (2015)</w:t>
      </w:r>
      <w:r>
        <w:t xml:space="preserve">;</w:t>
      </w:r>
      <w:r>
        <w:t xml:space="preserve"> </w:t>
      </w:r>
      <w:r>
        <w:t xml:space="preserve">Tenhumberg et al. (2018)</w:t>
      </w:r>
      <w:r>
        <w:t xml:space="preserve">;</w:t>
      </w:r>
      <w:r>
        <w:t xml:space="preserve"> </w:t>
      </w:r>
      <w:r>
        <w:t xml:space="preserve">Molowny-Horas et al. (2017)</w:t>
      </w:r>
      <w:r>
        <w:t xml:space="preserve">).</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extreme values of SPEI—both positive (unusually high precipitation) and negative (drought conditions)—led to declines in the probability of individual survival in both habitat types.</w:t>
      </w:r>
      <w:r>
        <w:t xml:space="preserve"> </w:t>
      </w:r>
      <w:r>
        <w:t xml:space="preserve">However,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variation in SPEI had far stronger effects on the probability of flowering in continuous forest than fragments.</w:t>
      </w:r>
      <w:r>
        <w:t xml:space="preserve"> </w:t>
      </w:r>
      <w:r>
        <w:t xml:space="preserve">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(Criley &amp; Lekawatana, 1994)</w:t>
      </w:r>
      <w:r>
        <w:t xml:space="preserve">.</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r>
        <w:t xml:space="preserve"> </w:t>
      </w:r>
      <w:r>
        <w:t xml:space="preserve">.</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topical trees may not die until three or more years after a drought</w:t>
      </w:r>
      <w:r>
        <w:t xml:space="preserve"> </w:t>
      </w:r>
      <w:r>
        <w:t xml:space="preserve">(Criley &amp; Lekawatana, 1994)</w:t>
      </w:r>
      <w:r>
        <w:t xml:space="preserve">.</w:t>
      </w:r>
      <w:r>
        <w:t xml:space="preserve"> </w:t>
      </w:r>
      <w:r>
        <w:t xml:space="preserve">When they finally do, the resulting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 triggering a boom in the growth and flowering of understory plants</w:t>
      </w:r>
      <w:r>
        <w:t xml:space="preserve"> </w:t>
      </w:r>
      <w:r>
        <w:t xml:space="preserve">(Bruna &amp; Oli, 2005)</w:t>
      </w:r>
      <w:r>
        <w:t xml:space="preserve">.</w:t>
      </w:r>
      <w:r>
        <w:t xml:space="preserve"> </w:t>
      </w:r>
      <w:r>
        <w:t xml:space="preserve">Similar delayed changes in the local environment could also influence the foraging behavior of a plant’s pollinators</w:t>
      </w:r>
      <w:r>
        <w:t xml:space="preserve"> </w:t>
      </w:r>
      <w:r>
        <w:t xml:space="preserve">(Bruna et al., 2004; Stouffer &amp; Bierregaard, 1996)</w:t>
      </w:r>
      <w:r>
        <w:t xml:space="preserve">, seed dispersers</w:t>
      </w:r>
      <w:r>
        <w:t xml:space="preserve"> </w:t>
      </w:r>
      <w:r>
        <w:t xml:space="preserve">(Uriarte et al., 2011)</w:t>
      </w:r>
      <w:r>
        <w:t xml:space="preserve">, or herbivores</w:t>
      </w:r>
      <w:r>
        <w:t xml:space="preserve"> </w:t>
      </w:r>
      <w:r>
        <w:t xml:space="preserve">(Scott et al., 2021)</w:t>
      </w:r>
      <w:r>
        <w:t xml:space="preserve">.</w:t>
      </w:r>
      <w:r>
        <w:t xml:space="preserve"> </w:t>
      </w:r>
      <w:r>
        <w:t xml:space="preserve">While more work is needed to explain why the (delayed) effects of SPEI on</w:t>
      </w:r>
      <w:r>
        <w:t xml:space="preserve"> </w:t>
      </w:r>
      <w:r>
        <w:rPr>
          <w:iCs/>
          <w:i/>
        </w:rPr>
        <w:t xml:space="preserve">H. acuminata</w:t>
      </w:r>
      <w:r>
        <w:t xml:space="preserve"> </w:t>
      </w:r>
      <w:r>
        <w:t xml:space="preserve">survival and growth are greater in fragments than forest interiors, one hypothesis, motivated by recent intriguing results from other systems</w:t>
      </w:r>
      <w:r>
        <w:t xml:space="preserve"> </w:t>
      </w:r>
      <w:r>
        <w:t xml:space="preserve">(Sapsford et al., 2017)</w:t>
      </w:r>
      <w:r>
        <w:t xml:space="preserve">, is that the greater litterfall on edges</w:t>
      </w:r>
      <w:r>
        <w:t xml:space="preserve"> </w:t>
      </w:r>
      <w:r>
        <w:t xml:space="preserve">(Vasconcelos &amp; Luizão, 2004)</w:t>
      </w:r>
      <w:r>
        <w:t xml:space="preserve"> </w:t>
      </w:r>
      <w:r>
        <w:t xml:space="preserve">may be 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4</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5"/>
    <w:bookmarkStart w:id="36" w:name="conclusions-future-directions"/>
    <w:p>
      <w:pPr>
        <w:pStyle w:val="Heading2"/>
      </w:pPr>
      <w:r>
        <w:t xml:space="preserve">Conclusions &amp; Future Directions</w:t>
      </w:r>
    </w:p>
    <w:p>
      <w:pPr>
        <w:pStyle w:val="FirstParagraph"/>
      </w:pPr>
      <w:r>
        <w:t xml:space="preserve">Over 24 million ha of the Brazilian Amazon have been cleared in the last two decades</w:t>
      </w:r>
      <w:r>
        <w:t xml:space="preserve"> </w:t>
      </w:r>
      <w:r>
        <w:t xml:space="preserve">(Silva Junior et al., 2021)</w:t>
      </w:r>
      <w:r>
        <w:t xml:space="preserve">, resulting in their extensive fragmentation</w:t>
      </w:r>
      <w:r>
        <w:t xml:space="preserve"> </w:t>
      </w:r>
      <w:r>
        <w:t xml:space="preserve">(Broadbent et al., 2008)</w:t>
      </w:r>
      <w:r>
        <w:t xml:space="preserve">.</w:t>
      </w:r>
      <w:r>
        <w:t xml:space="preserve"> </w:t>
      </w:r>
      <w:r>
        <w:t xml:space="preserve">Climate models predict a future of extremes for these forests—increases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Amazonian forest fragments could be more susceptible to the effects of changing climate than those in continuous forest</w:t>
      </w:r>
      <w:r>
        <w:t xml:space="preserve"> </w:t>
      </w:r>
      <w:r>
        <w:t xml:space="preserve">(Laurance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w:t>
      </w:r>
      <w:r>
        <w:rPr>
          <w:iCs/>
          <w:i/>
        </w:rPr>
        <w:t xml:space="preserve">sensu</w:t>
      </w:r>
      <w:r>
        <w:t xml:space="preserve"> </w:t>
      </w:r>
      <w:r>
        <w:t xml:space="preserve">Aguirre et al., 2021; 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r>
        <w:t xml:space="preserve"> </w:t>
      </w:r>
      <w:r>
        <w:t xml:space="preserve">More generally, however, researchers need to consider how delayed responses to climate could influence the interpretation of data in studies where the organisms lifespan exceeds the study’s duration.</w:t>
      </w:r>
    </w:p>
    <w:bookmarkEnd w:id="36"/>
    <w:bookmarkEnd w:id="37"/>
    <w:bookmarkStart w:id="38" w:name="acknowledgments"/>
    <w:p>
      <w:pPr>
        <w:pStyle w:val="Heading1"/>
      </w:pPr>
      <w:r>
        <w:t xml:space="preserve">Acknowledgments</w:t>
      </w:r>
    </w:p>
    <w:p>
      <w:pPr>
        <w:pStyle w:val="FirstParagraph"/>
      </w:pPr>
      <w:r>
        <w:t xml:space="preserve">We thank Collin Edwards, Andrew Mercadante, Ellie McDaniel, ___, ___, and ___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___ in the BDFFP Technical Series.</w:t>
      </w:r>
      <w:r>
        <w:t xml:space="preserve"> </w:t>
      </w:r>
      <w:r>
        <w:t xml:space="preserve">The authors delcare no conflicts of interest.</w:t>
      </w:r>
    </w:p>
    <w:bookmarkEnd w:id="38"/>
    <w:bookmarkStart w:id="39" w:name="data-availability-statement"/>
    <w:p>
      <w:pPr>
        <w:pStyle w:val="Heading1"/>
      </w:pPr>
      <w:r>
        <w:t xml:space="preserve">Data Availability Statement</w:t>
      </w:r>
    </w:p>
    <w:p>
      <w:pPr>
        <w:pStyle w:val="FirstParagraph"/>
      </w:pPr>
      <w:r>
        <w:t xml:space="preserve">Data used in this study are available at the Dryad Digital Repository; R code for analyses and visualizations are archived at Zenodo [links included upon acceptance].</w:t>
      </w:r>
    </w:p>
    <w:bookmarkEnd w:id="39"/>
    <w:bookmarkStart w:id="46" w:name="figures"/>
    <w:p>
      <w:pPr>
        <w:pStyle w:val="Heading1"/>
      </w:pPr>
      <w:r>
        <w:t xml:space="preserve">Figures</w:t>
      </w:r>
    </w:p>
    <w:p>
      <w:pPr>
        <w:pStyle w:val="CaptionedFigure"/>
      </w:pPr>
      <w:r>
        <w:drawing>
          <wp:inline>
            <wp:extent cx="5943600" cy="5943600"/>
            <wp:effectExtent b="0" l="0" r="0" t="0"/>
            <wp:docPr descr="Figure 1: (a-c) Time series of H. acuminata vital rates in 1-ha fragments (solid orange lines) and continuous forest (dashed blue lines) and (d) drought occurrence in the study region. (a) Mean fold-change in plant plant size (log2(sizet+1 / sizet))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 H. acuminata 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 title="" id="1" name="Picture"/>
            <a:graphic>
              <a:graphicData uri="http://schemas.openxmlformats.org/drawingml/2006/picture">
                <pic:pic>
                  <pic:nvPicPr>
                    <pic:cNvPr descr="figures/eda-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(a-c) Time series of</w:t>
      </w:r>
      <w:r>
        <w:t xml:space="preserve"> </w:t>
      </w:r>
      <w:r>
        <w:rPr>
          <w:iCs/>
          <w:i/>
        </w:rPr>
        <w:t xml:space="preserve">H. acuminata</w:t>
      </w:r>
      <w:r>
        <w:t xml:space="preserve"> </w:t>
      </w:r>
      <w:r>
        <w:t xml:space="preserve">vital rates in 1-ha fragments (solid orange lines) and continuous forest (dashed blue lines) and (d) drought occurrence in the study region. (a) Mean fold-change in plant plant size (log2(size</w:t>
      </w:r>
      <w:r>
        <w:rPr>
          <w:vertAlign w:val="subscript"/>
        </w:rPr>
        <w:t xml:space="preserve">t+1</w:t>
      </w:r>
      <w:r>
        <w:t xml:space="preserve"> </w:t>
      </w:r>
      <w:r>
        <w:t xml:space="preserve">/ size</w:t>
      </w:r>
      <w:r>
        <w:rPr>
          <w:vertAlign w:val="subscript"/>
        </w:rPr>
        <w:t xml:space="preserve">t</w:t>
      </w:r>
      <w:r>
        <w:t xml:space="preserve">)) varies by year and habitat. On average, plants grew in most years with the notable exception in 2003, in which on average plants regressed in size in both habitats (i.e., fold-change &lt; 0). Error bars represent the standard deviation. (b) The proportion of plants surviving from one transition year to the next varied from 0.98 (CF in 1998-1999) to 0.91 (CF in 2003-2004). (c) The proportion of</w:t>
      </w:r>
      <w:r>
        <w:t xml:space="preserve"> </w:t>
      </w:r>
      <w:r>
        <w:rPr>
          <w:iCs/>
          <w:i/>
        </w:rPr>
        <w:t xml:space="preserve">H. acuminata</w:t>
      </w:r>
      <w:r>
        <w:t xml:space="preserve"> </w:t>
      </w:r>
      <w:r>
        <w:t xml:space="preserve">above the size threshold for reproduction that flowered each year is on average low but variable. The size threshold is determined by the upper 90th percentile size of flowering plants across all years. (d) Monthly 3-month SPEI for our study region. Gray lines represent values from different grid cells encompassing BDFFP; the dark line represents the site mean. Colored stripes represent drought intensity: yellow = mild, orange = moderate, dark orange = severe, red = extreme.</w:t>
      </w:r>
    </w:p>
    <w:p>
      <w:pPr>
        <w:pStyle w:val="CaptionedFigure"/>
      </w:pPr>
      <w:r>
        <w:drawing>
          <wp:inline>
            <wp:extent cx="5943600" cy="2971800"/>
            <wp:effectExtent b="0" l="0" r="0" t="0"/>
            <wp:docPr descr="Figure 2: Survivorship curve for plants marked in the 1998 survey year; these plants comprise 49% of those in the complete demographic dataset. The percentage of these plants that were still alive ten years later was 79.7% (1629/2055) in continuous forest vs. 72.4% (393/543) in 1-ha fragments." title="" id="1" name="Picture"/>
            <a:graphic>
              <a:graphicData uri="http://schemas.openxmlformats.org/drawingml/2006/picture">
                <pic:pic>
                  <pic:nvPicPr>
                    <pic:cNvPr descr="figures/surv-curve-1.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2: Survivorship curve for plants marked in the 1998 survey year; these plants comprise 49% of those in the complete demographic dataset. The percentage of these plants that were still alive ten years later was 79.7% (1629/2055) in continuous forest vs. 72.4% (393/543) in 1-ha fragments.</w:t>
      </w:r>
    </w:p>
    <w:p>
      <w:pPr>
        <w:pStyle w:val="CaptionedFigure"/>
      </w:pPr>
      <w:r>
        <w:drawing>
          <wp:inline>
            <wp:extent cx="5943600" cy="5943600"/>
            <wp:effectExtent b="0" l="0" r="0" t="0"/>
            <wp:docPr descr="Figure 3: Smooth effect from models of plant size in the previous census on (a) survival, (b) log(size), and (c) flowering probability; these values correspond to the additive term s1(zi)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 title="" id="1" name="Picture"/>
            <a:graphic>
              <a:graphicData uri="http://schemas.openxmlformats.org/drawingml/2006/picture">
                <pic:pic>
                  <pic:nvPicPr>
                    <pic:cNvPr descr="figures/size-plot-1.png" id="0" name="Picture"/>
                    <pic:cNvPicPr>
                      <a:picLocks noChangeArrowheads="1" noChangeAspect="1"/>
                    </pic:cNvPicPr>
                  </pic:nvPicPr>
                  <pic:blipFill>
                    <a:blip r:embed="rId4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Smooth effect from models of plant size in the previous census on (a) survival, (b) log(size), and (c) flowering probability; these values correspond to the additive term s</w:t>
      </w:r>
      <w:r>
        <w:rPr>
          <w:vertAlign w:val="subscript"/>
        </w:rPr>
        <w:t xml:space="preserve">1</w:t>
      </w:r>
      <w:r>
        <w:t xml:space="preserve">(z</w:t>
      </w:r>
      <w:r>
        <w:rPr>
          <w:vertAlign w:val="subscript"/>
        </w:rPr>
        <w:t xml:space="preserve">i</w:t>
      </w:r>
      <w:r>
        <w:t xml:space="preserve">) in eq. 1. The bands depicting the 95% confidence interval include uncertainty in the intercept and uncertainty due to smoothness selection; the smooths for 1-ha fragments and continuous forest are fit in separate models. (d) Plant size distribution by habitat type (solid line = 1-ha fragments, dashed line = Continuous Forest).</w:t>
      </w:r>
    </w:p>
    <w:p>
      <w:pPr>
        <w:pStyle w:val="CaptionedFigure"/>
      </w:pPr>
      <w:r>
        <w:drawing>
          <wp:inline>
            <wp:extent cx="5943600" cy="6368142"/>
            <wp:effectExtent b="0" l="0" r="0" t="0"/>
            <wp:docPr descr="Figure 4: Smooth effect of lagged SPEI on H. acuminata 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surv-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w:t>
      </w:r>
      <w:r>
        <w:t xml:space="preserve"> </w:t>
      </w:r>
      <w:r>
        <w:rPr>
          <w:iCs/>
          <w:i/>
        </w:rPr>
        <w:t xml:space="preserve">H. acuminata</w:t>
      </w:r>
      <w:r>
        <w:t xml:space="preserve"> </w:t>
      </w:r>
      <w:r>
        <w:t xml:space="preserve">survival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p>
      <w:pPr>
        <w:pStyle w:val="CaptionedFigure"/>
      </w:pPr>
      <w:r>
        <w:drawing>
          <wp:inline>
            <wp:extent cx="5943600" cy="6368142"/>
            <wp:effectExtent b="0" l="0" r="0" t="0"/>
            <wp:docPr descr="Figure 5: Smooth effect of lagged SPEI on H. acuminata 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4"/>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w:t>
      </w:r>
      <w:r>
        <w:t xml:space="preserve"> </w:t>
      </w:r>
      <w:r>
        <w:rPr>
          <w:iCs/>
          <w:i/>
        </w:rPr>
        <w:t xml:space="preserve">H. acuminata</w:t>
      </w:r>
      <w:r>
        <w:t xml:space="preserve"> </w:t>
      </w:r>
      <w:r>
        <w:t xml:space="preserve">growth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w:t>
      </w:r>
    </w:p>
    <w:p>
      <w:pPr>
        <w:pStyle w:val="CaptionedFigure"/>
      </w:pPr>
      <w:r>
        <w:drawing>
          <wp:inline>
            <wp:extent cx="5943600" cy="6368142"/>
            <wp:effectExtent b="0" l="0" r="0" t="0"/>
            <wp:docPr descr="Figure 6: Smooth effect of lagged SPEI on H. acuminata 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 title="" id="1" name="Picture"/>
            <a:graphic>
              <a:graphicData uri="http://schemas.openxmlformats.org/drawingml/2006/picture">
                <pic:pic>
                  <pic:nvPicPr>
                    <pic:cNvPr descr="figures/flwr-spei-1.png" id="0" name="Picture"/>
                    <pic:cNvPicPr>
                      <a:picLocks noChangeArrowheads="1" noChangeAspect="1"/>
                    </pic:cNvPicPr>
                  </pic:nvPicPr>
                  <pic:blipFill>
                    <a:blip r:embed="rId45"/>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6: Smooth effect of lagged SPEI on</w:t>
      </w:r>
      <w:r>
        <w:t xml:space="preserve"> </w:t>
      </w:r>
      <w:r>
        <w:rPr>
          <w:iCs/>
          <w:i/>
        </w:rPr>
        <w:t xml:space="preserve">H. acuminata</w:t>
      </w:r>
      <w:r>
        <w:t xml:space="preserve"> </w:t>
      </w:r>
      <w:r>
        <w:t xml:space="preserve">flowering probability in (a) continuous forest, (b) 1-ha fragments, (c) and the difference between the two. Outlines show regions where the effect of SPEI is significant, defined as those where the 95% confidence interval around the response does not overlap the intercept. The bar on the bottom of each panel indicates the wet seasons (black, November–May) and dry seasons (white, June–October). Surface is modeled as a crossbasis function with cubic regression splines for each marginal basis. Model intercepts were added to fitted values of the crossbasis function and back-transformed to the response scale.</w:t>
      </w:r>
    </w:p>
    <w:bookmarkEnd w:id="46"/>
    <w:bookmarkStart w:id="276" w:name="references"/>
    <w:p>
      <w:pPr>
        <w:pStyle w:val="Heading1"/>
      </w:pPr>
      <w:r>
        <w:t xml:space="preserve">References</w:t>
      </w:r>
    </w:p>
    <w:bookmarkStart w:id="275" w:name="refs"/>
    <w:bookmarkStart w:id="48" w:name="ref-aguirre2021"/>
    <w:p>
      <w:pPr>
        <w:pStyle w:val="Bibliography"/>
      </w:pPr>
      <w:r>
        <w:t xml:space="preserve">Aguirre, B. A., Hsieh, B., Watson, S. J., &amp; Wright, A. J. (2021). The experimental manipulation of atmospheric drought:</w:t>
      </w:r>
      <w:r>
        <w:t xml:space="preserve"> </w:t>
      </w:r>
      <w:r>
        <w:t xml:space="preserve">Teasing</w:t>
      </w:r>
      <w:r>
        <w:t xml:space="preserve"> </w:t>
      </w:r>
      <w:r>
        <w:t xml:space="preserve">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7">
        <w:r>
          <w:rPr>
            <w:rStyle w:val="Hyperlink"/>
          </w:rPr>
          <w:t xml:space="preserve">https://doi.org/10.1111/1365-2745.13595</w:t>
        </w:r>
      </w:hyperlink>
    </w:p>
    <w:bookmarkEnd w:id="48"/>
    <w:bookmarkStart w:id="50"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9">
        <w:r>
          <w:rPr>
            <w:rStyle w:val="Hyperlink"/>
          </w:rPr>
          <w:t xml:space="preserve">https://doi.org/10.1007/s00442-017-3879-3</w:t>
        </w:r>
      </w:hyperlink>
    </w:p>
    <w:bookmarkEnd w:id="50"/>
    <w:bookmarkStart w:id="52"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51">
        <w:r>
          <w:rPr>
            <w:rStyle w:val="Hyperlink"/>
          </w:rPr>
          <w:t xml:space="preserve">https://doi.org/10.1073/pnas.1611855114</w:t>
        </w:r>
      </w:hyperlink>
    </w:p>
    <w:bookmarkEnd w:id="52"/>
    <w:bookmarkStart w:id="54"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3">
        <w:r>
          <w:rPr>
            <w:rStyle w:val="Hyperlink"/>
          </w:rPr>
          <w:t xml:space="preserve">https://doi.org/10.1126/science.aab1833</w:t>
        </w:r>
      </w:hyperlink>
    </w:p>
    <w:bookmarkEnd w:id="54"/>
    <w:bookmarkStart w:id="56"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5">
        <w:r>
          <w:rPr>
            <w:rStyle w:val="Hyperlink"/>
          </w:rPr>
          <w:t xml:space="preserve">https://doi.org/10.1007/s11284-016-1411-6</w:t>
        </w:r>
      </w:hyperlink>
    </w:p>
    <w:bookmarkEnd w:id="56"/>
    <w:bookmarkStart w:id="58"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w:t>
      </w:r>
      <w:r>
        <w:t xml:space="preserve"> </w:t>
      </w:r>
      <w:hyperlink r:id="rId57">
        <w:r>
          <w:rPr>
            <w:rStyle w:val="Hyperlink"/>
          </w:rPr>
          <w:t xml:space="preserve">https://CRAN.R-project.org/package=SPEI</w:t>
        </w:r>
      </w:hyperlink>
    </w:p>
    <w:bookmarkEnd w:id="58"/>
    <w:bookmarkStart w:id="60"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9">
        <w:r>
          <w:rPr>
            <w:rStyle w:val="Hyperlink"/>
          </w:rPr>
          <w:t xml:space="preserve">https://doi.org/10.1126/science.aax9387</w:t>
        </w:r>
      </w:hyperlink>
    </w:p>
    <w:bookmarkEnd w:id="60"/>
    <w:bookmarkStart w:id="62"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1">
        <w:r>
          <w:rPr>
            <w:rStyle w:val="Hyperlink"/>
          </w:rPr>
          <w:t xml:space="preserve">https://doi.org/10.1111/btp.12010</w:t>
        </w:r>
      </w:hyperlink>
    </w:p>
    <w:bookmarkEnd w:id="62"/>
    <w:bookmarkStart w:id="63"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3"/>
    <w:bookmarkStart w:id="65"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4">
        <w:r>
          <w:rPr>
            <w:rStyle w:val="Hyperlink"/>
          </w:rPr>
          <w:t xml:space="preserve">https://doi.org/10.2307/1312085</w:t>
        </w:r>
      </w:hyperlink>
    </w:p>
    <w:bookmarkEnd w:id="65"/>
    <w:bookmarkStart w:id="67"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6">
        <w:r>
          <w:rPr>
            <w:rStyle w:val="Hyperlink"/>
          </w:rPr>
          <w:t xml:space="preserve">https://doi.org/10.1016/j.biocon.2008.04.024</w:t>
        </w:r>
      </w:hyperlink>
    </w:p>
    <w:bookmarkEnd w:id="67"/>
    <w:bookmarkStart w:id="69"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8">
        <w:r>
          <w:rPr>
            <w:rStyle w:val="Hyperlink"/>
          </w:rPr>
          <w:t xml:space="preserve">https://doi.org/10.1016/j.tree.2011.09.008</w:t>
        </w:r>
      </w:hyperlink>
    </w:p>
    <w:bookmarkEnd w:id="69"/>
    <w:bookmarkStart w:id="71" w:name="Xd9a3bd1329c6c20d22e55df67fa574f2966a95c"/>
    <w:p>
      <w:pPr>
        <w:pStyle w:val="Bibliography"/>
      </w:pPr>
      <w:r>
        <w:t xml:space="preserve">Brooks, M. E., Kristensen, K., Darrigo, M. R., Rubim, P., Uriarte, M., Bruna, E. M., &amp; Bolker, B. M. (2019). Statistical modeling of patterns in annual reproductive rates.</w:t>
      </w:r>
      <w:r>
        <w:t xml:space="preserve"> </w:t>
      </w:r>
      <w:r>
        <w:rPr>
          <w:iCs/>
          <w:i/>
        </w:rPr>
        <w:t xml:space="preserve">Ecology</w:t>
      </w:r>
      <w:r>
        <w:t xml:space="preserve">,</w:t>
      </w:r>
      <w:r>
        <w:t xml:space="preserve"> </w:t>
      </w:r>
      <w:r>
        <w:rPr>
          <w:iCs/>
          <w:i/>
        </w:rPr>
        <w:t xml:space="preserve">100</w:t>
      </w:r>
      <w:r>
        <w:t xml:space="preserve">(7).</w:t>
      </w:r>
      <w:r>
        <w:t xml:space="preserve"> </w:t>
      </w:r>
      <w:hyperlink r:id="rId70">
        <w:r>
          <w:rPr>
            <w:rStyle w:val="Hyperlink"/>
          </w:rPr>
          <w:t xml:space="preserve">https://doi.org/10.1002/ecy.2706</w:t>
        </w:r>
      </w:hyperlink>
    </w:p>
    <w:bookmarkEnd w:id="71"/>
    <w:bookmarkStart w:id="73"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2">
        <w:r>
          <w:rPr>
            <w:rStyle w:val="Hyperlink"/>
          </w:rPr>
          <w:t xml:space="preserve">https://doi.org/10.1038/45963</w:t>
        </w:r>
      </w:hyperlink>
    </w:p>
    <w:bookmarkEnd w:id="73"/>
    <w:bookmarkStart w:id="75"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4">
        <w:r>
          <w:rPr>
            <w:rStyle w:val="Hyperlink"/>
          </w:rPr>
          <w:t xml:space="preserve">https://doi.org/10.1007/s00442-002-0956-y</w:t>
        </w:r>
      </w:hyperlink>
    </w:p>
    <w:bookmarkEnd w:id="75"/>
    <w:bookmarkStart w:id="77" w:name="ref-brunaArePlantPopulations2003"/>
    <w:p>
      <w:pPr>
        <w:pStyle w:val="Bibliography"/>
      </w:pPr>
      <w:r>
        <w:t xml:space="preserve">Bruna, E. M. (2003). Are plant populations in fragmented habitats recruitment limited?</w:t>
      </w:r>
      <w:r>
        <w:t xml:space="preserve"> </w:t>
      </w:r>
      <w:r>
        <w:t xml:space="preserve">Tests</w:t>
      </w:r>
      <w:r>
        <w:t xml:space="preserve"> </w:t>
      </w:r>
      <w:r>
        <w:t xml:space="preserve">with an</w:t>
      </w:r>
      <w:r>
        <w:t xml:space="preserve"> </w:t>
      </w:r>
      <w:r>
        <w:t xml:space="preserve">Amazonian</w:t>
      </w:r>
      <w:r>
        <w:t xml:space="preserve"> </w:t>
      </w:r>
      <w:r>
        <w:t xml:space="preserve">herb.</w:t>
      </w:r>
      <w:r>
        <w:t xml:space="preserve"> </w:t>
      </w:r>
      <w:r>
        <w:rPr>
          <w:iCs/>
          <w:i/>
        </w:rPr>
        <w:t xml:space="preserve">Ecology</w:t>
      </w:r>
      <w:r>
        <w:t xml:space="preserve">,</w:t>
      </w:r>
      <w:r>
        <w:t xml:space="preserve"> </w:t>
      </w:r>
      <w:r>
        <w:rPr>
          <w:iCs/>
          <w:i/>
        </w:rPr>
        <w:t xml:space="preserve">84</w:t>
      </w:r>
      <w:r>
        <w:t xml:space="preserve">(4), 932–947.</w:t>
      </w:r>
      <w:r>
        <w:t xml:space="preserve"> </w:t>
      </w:r>
      <w:hyperlink r:id="rId76">
        <w:r>
          <w:rPr>
            <w:rStyle w:val="Hyperlink"/>
          </w:rPr>
          <w:t xml:space="preserve">https://doi.org/10.1890/0012-9658(2003)084[0932:APPIFH]2.0.CO;2</w:t>
        </w:r>
      </w:hyperlink>
    </w:p>
    <w:bookmarkEnd w:id="77"/>
    <w:bookmarkStart w:id="79"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8">
        <w:r>
          <w:rPr>
            <w:rStyle w:val="Hyperlink"/>
          </w:rPr>
          <w:t xml:space="preserve">https://doi.org/10.1111/j.1654-1103.2009.01060.x</w:t>
        </w:r>
      </w:hyperlink>
    </w:p>
    <w:bookmarkEnd w:id="79"/>
    <w:bookmarkStart w:id="81"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80">
        <w:r>
          <w:rPr>
            <w:rStyle w:val="Hyperlink"/>
          </w:rPr>
          <w:t xml:space="preserve">https://doi.org/10.1046/j.1523-1739.2002.99494.x</w:t>
        </w:r>
      </w:hyperlink>
    </w:p>
    <w:bookmarkEnd w:id="81"/>
    <w:bookmarkStart w:id="83"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82">
        <w:r>
          <w:rPr>
            <w:rStyle w:val="Hyperlink"/>
          </w:rPr>
          <w:t xml:space="preserve">https://doi.org/10.1590/S0044-59672004000300012</w:t>
        </w:r>
      </w:hyperlink>
    </w:p>
    <w:bookmarkEnd w:id="83"/>
    <w:bookmarkStart w:id="85"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4">
        <w:r>
          <w:rPr>
            <w:rStyle w:val="Hyperlink"/>
          </w:rPr>
          <w:t xml:space="preserve">https://doi.org/10.1046/j.1365-2745.2002.00707.x</w:t>
        </w:r>
      </w:hyperlink>
    </w:p>
    <w:bookmarkEnd w:id="85"/>
    <w:bookmarkStart w:id="87" w:name="ref-brunaDemographicEffectsHabitat2005"/>
    <w:p>
      <w:pPr>
        <w:pStyle w:val="Bibliography"/>
      </w:pPr>
      <w:r>
        <w:t xml:space="preserve">Bruna, E. M., &amp; Oli, M. K. (2005). Demographic effects of habitat fragmentation on a tropical herb:</w:t>
      </w:r>
      <w:r>
        <w:t xml:space="preserve"> </w:t>
      </w:r>
      <w:r>
        <w:t xml:space="preserve">Life</w:t>
      </w:r>
      <w:r>
        <w:t xml:space="preserv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6">
        <w:r>
          <w:rPr>
            <w:rStyle w:val="Hyperlink"/>
          </w:rPr>
          <w:t xml:space="preserve">https://doi.org/10.1890/04-1716</w:t>
        </w:r>
      </w:hyperlink>
    </w:p>
    <w:bookmarkEnd w:id="87"/>
    <w:bookmarkStart w:id="89"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8">
        <w:r>
          <w:rPr>
            <w:rStyle w:val="Hyperlink"/>
          </w:rPr>
          <w:t xml:space="preserve">https://doi.org/10.3732/ajb.92.12.2101</w:t>
        </w:r>
      </w:hyperlink>
    </w:p>
    <w:bookmarkEnd w:id="89"/>
    <w:bookmarkStart w:id="91"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90">
        <w:r>
          <w:rPr>
            <w:rStyle w:val="Hyperlink"/>
          </w:rPr>
          <w:t xml:space="preserve">https://doi.org/10.1139/x90-084</w:t>
        </w:r>
      </w:hyperlink>
    </w:p>
    <w:bookmarkEnd w:id="91"/>
    <w:bookmarkStart w:id="93"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2">
        <w:r>
          <w:rPr>
            <w:rStyle w:val="Hyperlink"/>
          </w:rPr>
          <w:t xml:space="preserve">https://doi.org/10.1017/S0266467403001081</w:t>
        </w:r>
      </w:hyperlink>
    </w:p>
    <w:bookmarkEnd w:id="93"/>
    <w:bookmarkStart w:id="94"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4"/>
    <w:bookmarkStart w:id="96"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5">
        <w:r>
          <w:rPr>
            <w:rStyle w:val="Hyperlink"/>
          </w:rPr>
          <w:t xml:space="preserve">https://doi.org/10.1111/mec.12495</w:t>
        </w:r>
      </w:hyperlink>
    </w:p>
    <w:bookmarkEnd w:id="96"/>
    <w:bookmarkStart w:id="98"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7">
        <w:r>
          <w:rPr>
            <w:rStyle w:val="Hyperlink"/>
          </w:rPr>
          <w:t xml:space="preserve">https://doi.org/10.17660/ActaHortic.1995.397.7</w:t>
        </w:r>
      </w:hyperlink>
    </w:p>
    <w:bookmarkEnd w:id="98"/>
    <w:bookmarkStart w:id="99"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9"/>
    <w:bookmarkStart w:id="101"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100">
        <w:r>
          <w:rPr>
            <w:rStyle w:val="Hyperlink"/>
          </w:rPr>
          <w:t xml:space="preserve">https://doi.org/10.1038/35003563</w:t>
        </w:r>
      </w:hyperlink>
    </w:p>
    <w:bookmarkEnd w:id="101"/>
    <w:bookmarkStart w:id="103"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2">
        <w:r>
          <w:rPr>
            <w:rStyle w:val="Hyperlink"/>
          </w:rPr>
          <w:t xml:space="preserve">https://doi.org/10.1111/j.1600-0706.2011.20273.x</w:t>
        </w:r>
      </w:hyperlink>
    </w:p>
    <w:bookmarkEnd w:id="103"/>
    <w:bookmarkStart w:id="105"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4">
        <w:r>
          <w:rPr>
            <w:rStyle w:val="Hyperlink"/>
          </w:rPr>
          <w:t xml:space="preserve">https://doi.org/10.1111/j.1744-7429.1999.tb00113.x</w:t>
        </w:r>
      </w:hyperlink>
    </w:p>
    <w:bookmarkEnd w:id="105"/>
    <w:bookmarkStart w:id="106"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27</w:t>
      </w:r>
      <w:r>
        <w:t xml:space="preserve">(9), 1927–1941.</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feeley2012"/>
    <w:p>
      <w:pPr>
        <w:pStyle w:val="Bibliography"/>
      </w:pPr>
      <w:r>
        <w:t xml:space="preserve">Feeley, K. J., Malhi, Y., Zelazowski, P., &amp; Silman, M. R. (2012). The relative importance of deforestation, precipitation change, and temperature sensitivity in determining the future distributions and diversity of Amazonian plant species.</w:t>
      </w:r>
      <w:r>
        <w:t xml:space="preserve"> </w:t>
      </w:r>
      <w:r>
        <w:rPr>
          <w:iCs/>
          <w:i/>
        </w:rPr>
        <w:t xml:space="preserve">Global Change Biology</w:t>
      </w:r>
      <w:r>
        <w:t xml:space="preserve">,</w:t>
      </w:r>
      <w:r>
        <w:t xml:space="preserve"> </w:t>
      </w:r>
      <w:r>
        <w:rPr>
          <w:iCs/>
          <w:i/>
        </w:rPr>
        <w:t xml:space="preserve">18</w:t>
      </w:r>
      <w:r>
        <w:t xml:space="preserve">(8), 2636–2647.</w:t>
      </w:r>
      <w:r>
        <w:t xml:space="preserve"> </w:t>
      </w:r>
      <w:hyperlink r:id="rId124">
        <w:r>
          <w:rPr>
            <w:rStyle w:val="Hyperlink"/>
          </w:rPr>
          <w:t xml:space="preserve">https://doi.org/10.1111/j.1365-2486.2012.02719.x</w:t>
        </w:r>
      </w:hyperlink>
    </w:p>
    <w:bookmarkEnd w:id="125"/>
    <w:bookmarkStart w:id="127"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6">
        <w:r>
          <w:rPr>
            <w:rStyle w:val="Hyperlink"/>
          </w:rPr>
          <w:t xml:space="preserve">https://doi.org/10.1016/j.biocon.2010.11.015</w:t>
        </w:r>
      </w:hyperlink>
    </w:p>
    <w:bookmarkEnd w:id="127"/>
    <w:bookmarkStart w:id="129"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8">
        <w:r>
          <w:rPr>
            <w:rStyle w:val="Hyperlink"/>
          </w:rPr>
          <w:t xml:space="preserve">https://doi.org/10.1016/j.ecolmodel.2019.03.007</w:t>
        </w:r>
      </w:hyperlink>
    </w:p>
    <w:bookmarkEnd w:id="129"/>
    <w:bookmarkStart w:id="131"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30">
        <w:r>
          <w:rPr>
            <w:rStyle w:val="Hyperlink"/>
          </w:rPr>
          <w:t xml:space="preserve">https://doi.org/10.18637/jss.v043.i08</w:t>
        </w:r>
      </w:hyperlink>
    </w:p>
    <w:bookmarkEnd w:id="131"/>
    <w:bookmarkStart w:id="133"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2">
        <w:r>
          <w:rPr>
            <w:rStyle w:val="Hyperlink"/>
          </w:rPr>
          <w:t xml:space="preserve">https://doi.org/10.1111/biom.12645</w:t>
        </w:r>
      </w:hyperlink>
    </w:p>
    <w:bookmarkEnd w:id="133"/>
    <w:bookmarkStart w:id="135"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4">
        <w:r>
          <w:rPr>
            <w:rStyle w:val="Hyperlink"/>
          </w:rPr>
          <w:t xml:space="preserve">https://doi.org/10.2307/2388737</w:t>
        </w:r>
      </w:hyperlink>
    </w:p>
    <w:bookmarkEnd w:id="135"/>
    <w:bookmarkStart w:id="137"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6">
        <w:r>
          <w:rPr>
            <w:rStyle w:val="Hyperlink"/>
          </w:rPr>
          <w:t xml:space="preserve">https://doi.org/10.1111/ele.13659</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0">
        <w:r>
          <w:rPr>
            <w:rStyle w:val="Hyperlink"/>
          </w:rPr>
          <w:t xml:space="preserve">https://doi.org/10.1111/1749-4877.12167</w:t>
        </w:r>
      </w:hyperlink>
    </w:p>
    <w:bookmarkEnd w:id="141"/>
    <w:bookmarkStart w:id="143"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2">
        <w:r>
          <w:rPr>
            <w:rStyle w:val="Hyperlink"/>
          </w:rPr>
          <w:t xml:space="preserve">https://doi.org/10.2307/1941152</w:t>
        </w:r>
      </w:hyperlink>
    </w:p>
    <w:bookmarkEnd w:id="143"/>
    <w:bookmarkStart w:id="145"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4">
        <w:r>
          <w:rPr>
            <w:rStyle w:val="Hyperlink"/>
          </w:rPr>
          <w:t xml:space="preserve">https://doi.org/10.1029/2005GL025583</w:t>
        </w:r>
      </w:hyperlink>
    </w:p>
    <w:bookmarkEnd w:id="145"/>
    <w:bookmarkStart w:id="147"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w:t>
      </w:r>
      <w:r>
        <w:t xml:space="preserve"> </w:t>
      </w:r>
      <w:hyperlink r:id="rId146">
        <w:r>
          <w:rPr>
            <w:rStyle w:val="Hyperlink"/>
          </w:rPr>
          <w:t xml:space="preserve">https://doi.org/10.5194/bg-2021-30</w:t>
        </w:r>
      </w:hyperlink>
    </w:p>
    <w:bookmarkEnd w:id="147"/>
    <w:bookmarkStart w:id="149"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48">
        <w:r>
          <w:rPr>
            <w:rStyle w:val="Hyperlink"/>
          </w:rPr>
          <w:t xml:space="preserve">https://doi.org/10.1088/1748-9326/9/12/124021</w:t>
        </w:r>
      </w:hyperlink>
    </w:p>
    <w:bookmarkEnd w:id="149"/>
    <w:bookmarkStart w:id="151"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0">
        <w:r>
          <w:rPr>
            <w:rStyle w:val="Hyperlink"/>
          </w:rPr>
          <w:t xml:space="preserve">https://doi.org/10.1111/ele.13485</w:t>
        </w:r>
      </w:hyperlink>
    </w:p>
    <w:bookmarkEnd w:id="151"/>
    <w:bookmarkStart w:id="153"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2">
        <w:r>
          <w:rPr>
            <w:rStyle w:val="Hyperlink"/>
          </w:rPr>
          <w:t xml:space="preserve">https://doi.org/10.1111/1365-2435.13145</w:t>
        </w:r>
      </w:hyperlink>
    </w:p>
    <w:bookmarkEnd w:id="153"/>
    <w:bookmarkStart w:id="154"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4"/>
    <w:bookmarkStart w:id="156" w:name="ref-landauTargetsPackageDynamic2021"/>
    <w:p>
      <w:pPr>
        <w:pStyle w:val="Bibliography"/>
      </w:pPr>
      <w:r>
        <w:t xml:space="preserve">Landau, W. M. (2021). The targets</w:t>
      </w:r>
      <w:r>
        <w:t xml:space="preserve"> </w:t>
      </w:r>
      <w:r>
        <w:t xml:space="preserve">R</w:t>
      </w:r>
      <w:r>
        <w:t xml:space="preserve"> </w:t>
      </w:r>
      <w:r>
        <w:t xml:space="preserve">package: A dynamic</w:t>
      </w:r>
      <w:r>
        <w:t xml:space="preserve"> </w:t>
      </w:r>
      <w:r>
        <w:t xml:space="preserve">Make</w:t>
      </w:r>
      <w:r>
        <w:t xml:space="preserve">-like function-oriented pipeline toolkit for reproducibility and high-performance computing.</w:t>
      </w:r>
      <w:r>
        <w:t xml:space="preserve"> </w:t>
      </w:r>
      <w:r>
        <w:rPr>
          <w:iCs/>
          <w:i/>
        </w:rPr>
        <w:t xml:space="preserve">Journal of Open Source Software</w:t>
      </w:r>
      <w:r>
        <w:t xml:space="preserve">,</w:t>
      </w:r>
      <w:r>
        <w:t xml:space="preserve"> </w:t>
      </w:r>
      <w:r>
        <w:rPr>
          <w:iCs/>
          <w:i/>
        </w:rPr>
        <w:t xml:space="preserve">6</w:t>
      </w:r>
      <w:r>
        <w:t xml:space="preserve">(57), 2959.</w:t>
      </w:r>
      <w:r>
        <w:t xml:space="preserve"> </w:t>
      </w:r>
      <w:hyperlink r:id="rId155">
        <w:r>
          <w:rPr>
            <w:rStyle w:val="Hyperlink"/>
          </w:rPr>
          <w:t xml:space="preserve">https://doi.org/ghwrqs</w:t>
        </w:r>
      </w:hyperlink>
    </w:p>
    <w:bookmarkEnd w:id="156"/>
    <w:bookmarkStart w:id="158"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7">
        <w:r>
          <w:rPr>
            <w:rStyle w:val="Hyperlink"/>
          </w:rPr>
          <w:t xml:space="preserve">https://doi.org/10.1890/14-0330.1</w:t>
        </w:r>
      </w:hyperlink>
    </w:p>
    <w:bookmarkEnd w:id="158"/>
    <w:bookmarkStart w:id="159"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59"/>
    <w:bookmarkStart w:id="161" w:name="ref-laurance2006"/>
    <w:p>
      <w:pPr>
        <w:pStyle w:val="Bibliography"/>
      </w:pPr>
      <w:r>
        <w:t xml:space="preserve">Laurance, W.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0">
        <w:r>
          <w:rPr>
            <w:rStyle w:val="Hyperlink"/>
          </w:rPr>
          <w:t xml:space="preserve">https://doi.org/10.1073/pnas.0609048103</w:t>
        </w:r>
      </w:hyperlink>
    </w:p>
    <w:bookmarkEnd w:id="161"/>
    <w:bookmarkStart w:id="163" w:name="ref-laurancePositiveFeedbacksForest2001"/>
    <w:p>
      <w:pPr>
        <w:pStyle w:val="Bibliography"/>
      </w:pPr>
      <w:r>
        <w:t xml:space="preserve">Laurance, W. F., &amp; Williamson, G. B. (2001). Positive feedbacks among forest fragmentation, drought, and climate change in the</w:t>
      </w:r>
      <w:r>
        <w:t xml:space="preserve"> </w:t>
      </w:r>
      <w:r>
        <w:t xml:space="preserve">Amazon</w:t>
      </w:r>
      <w:r>
        <w:t xml:space="preserve">.</w:t>
      </w:r>
      <w:r>
        <w:t xml:space="preserve"> </w:t>
      </w:r>
      <w:r>
        <w:rPr>
          <w:iCs/>
          <w:i/>
        </w:rPr>
        <w:t xml:space="preserve">Conservation Biology</w:t>
      </w:r>
      <w:r>
        <w:t xml:space="preserve">,</w:t>
      </w:r>
      <w:r>
        <w:t xml:space="preserve"> </w:t>
      </w:r>
      <w:r>
        <w:rPr>
          <w:iCs/>
          <w:i/>
        </w:rPr>
        <w:t xml:space="preserve">15</w:t>
      </w:r>
      <w:r>
        <w:t xml:space="preserve">(6), 1529–1535.</w:t>
      </w:r>
      <w:r>
        <w:t xml:space="preserve"> </w:t>
      </w:r>
      <w:hyperlink r:id="rId162">
        <w:r>
          <w:rPr>
            <w:rStyle w:val="Hyperlink"/>
          </w:rPr>
          <w:t xml:space="preserve">https://doi.org/10.1046/j.1523-1739.2001.01093.x</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Kleist, J., &amp; others. (1993). The relationship of drought frequency and duration to time scales.</w:t>
      </w:r>
      <w:r>
        <w:t xml:space="preserve"> </w:t>
      </w:r>
      <w:r>
        <w:rPr>
          <w:iCs/>
          <w:i/>
        </w:rPr>
        <w:t xml:space="preserve">Proceedings of the 8th Conference on Applied Climatology</w:t>
      </w:r>
      <w:r>
        <w:t xml:space="preserve">,</w:t>
      </w:r>
      <w:r>
        <w:t xml:space="preserve"> </w:t>
      </w:r>
      <w:r>
        <w:rPr>
          <w:iCs/>
          <w:i/>
        </w:rPr>
        <w:t xml:space="preserve">17</w:t>
      </w:r>
      <w:r>
        <w:t xml:space="preserve">, 179–183.</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X39997561169cc377e78cfd1f6b419ae9f999567"/>
    <w:p>
      <w:pPr>
        <w:pStyle w:val="Bibliography"/>
      </w:pPr>
      <w:r>
        <w:t xml:space="preserve">Molowny-Horas, R., Suarez, M. L., &amp; Lloret, F. (2017). Changes in the natural dynamics of</w:t>
      </w:r>
      <w:r>
        <w:t xml:space="preserve"> </w:t>
      </w:r>
      <w:r>
        <w:rPr>
          <w:iCs/>
          <w:i/>
        </w:rPr>
        <w:t xml:space="preserve">Nothofagus</w:t>
      </w:r>
      <w:r>
        <w:t xml:space="preserve"> </w:t>
      </w:r>
      <w:r>
        <w:rPr>
          <w:iCs/>
          <w:i/>
        </w:rPr>
        <w:t xml:space="preserve">Dombeyi</w:t>
      </w:r>
      <w:r>
        <w:t xml:space="preserve"> </w:t>
      </w:r>
      <w:r>
        <w:t xml:space="preserve">forests: Population modeling with increasing drought frequencies.</w:t>
      </w:r>
      <w:r>
        <w:t xml:space="preserve"> </w:t>
      </w:r>
      <w:r>
        <w:rPr>
          <w:iCs/>
          <w:i/>
        </w:rPr>
        <w:t xml:space="preserve">Ecosphere</w:t>
      </w:r>
      <w:r>
        <w:t xml:space="preserve">,</w:t>
      </w:r>
      <w:r>
        <w:t xml:space="preserve"> </w:t>
      </w:r>
      <w:r>
        <w:rPr>
          <w:iCs/>
          <w:i/>
        </w:rPr>
        <w:t xml:space="preserve">8</w:t>
      </w:r>
      <w:r>
        <w:t xml:space="preserve">(3), e01708.</w:t>
      </w:r>
      <w:r>
        <w:t xml:space="preserve"> </w:t>
      </w:r>
      <w:hyperlink r:id="rId176">
        <w:r>
          <w:rPr>
            <w:rStyle w:val="Hyperlink"/>
          </w:rPr>
          <w:t xml:space="preserve">https://doi.org/10.1002/ecs2.1708</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orrisLongevityCanBuffer2008"/>
    <w:p>
      <w:pPr>
        <w:pStyle w:val="Bibliography"/>
      </w:pPr>
      <w:r>
        <w:t xml:space="preserve">Morris, W. F., Pfister, C. A., Tuljapurkar, S., Haridas, C. V., Boggs, C. L., Boyce, M. S., Bruna, E. M., Church, D. R., Coulson, T., Doak, D. F., Forsyth, S., Gaillard, J.-M., Horvitz, C. C., Kalisz, S., Kendall, B. E., Knight, T. M., Lee, C. T., &amp; Menges, E. S. (2008). Longevity can buffer plant and animal populations against changing climatic variability.</w:t>
      </w:r>
      <w:r>
        <w:t xml:space="preserve"> </w:t>
      </w:r>
      <w:r>
        <w:rPr>
          <w:iCs/>
          <w:i/>
        </w:rPr>
        <w:t xml:space="preserve">Ecology</w:t>
      </w:r>
      <w:r>
        <w:t xml:space="preserve">,</w:t>
      </w:r>
      <w:r>
        <w:t xml:space="preserve"> </w:t>
      </w:r>
      <w:r>
        <w:rPr>
          <w:iCs/>
          <w:i/>
        </w:rPr>
        <w:t xml:space="preserve">89</w:t>
      </w:r>
      <w:r>
        <w:t xml:space="preserve">(1), 19–25.</w:t>
      </w:r>
      <w:r>
        <w:t xml:space="preserve"> </w:t>
      </w:r>
      <w:hyperlink r:id="rId179">
        <w:r>
          <w:rPr>
            <w:rStyle w:val="Hyperlink"/>
          </w:rPr>
          <w:t xml:space="preserve">https://doi.org/10.1890/07-0774.1</w:t>
        </w:r>
      </w:hyperlink>
    </w:p>
    <w:bookmarkEnd w:id="180"/>
    <w:bookmarkStart w:id="181"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1"/>
    <w:bookmarkStart w:id="183"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2">
        <w:r>
          <w:rPr>
            <w:rStyle w:val="Hyperlink"/>
          </w:rPr>
          <w:t xml:space="preserve">https://doi.org/10.1016/j.foreco.2003.10.013</w:t>
        </w:r>
      </w:hyperlink>
    </w:p>
    <w:bookmarkEnd w:id="183"/>
    <w:bookmarkStart w:id="185"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4">
        <w:r>
          <w:rPr>
            <w:rStyle w:val="Hyperlink"/>
          </w:rPr>
          <w:t xml:space="preserve">https://doi.org/10.9735/0975-3710.10.3.5137-5139</w:t>
        </w:r>
      </w:hyperlink>
    </w:p>
    <w:bookmarkEnd w:id="185"/>
    <w:bookmarkStart w:id="187"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6">
        <w:r>
          <w:rPr>
            <w:rStyle w:val="Hyperlink"/>
          </w:rPr>
          <w:t xml:space="preserve">https://doi.org/10.1111/ele.12399</w:t>
        </w:r>
      </w:hyperlink>
    </w:p>
    <w:bookmarkEnd w:id="187"/>
    <w:bookmarkStart w:id="189"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88">
        <w:r>
          <w:rPr>
            <w:rStyle w:val="Hyperlink"/>
          </w:rPr>
          <w:t xml:space="preserve">https://doi.org/10.1038/nclimate2746</w:t>
        </w:r>
      </w:hyperlink>
    </w:p>
    <w:bookmarkEnd w:id="189"/>
    <w:bookmarkStart w:id="190" w:name="ref-opdamClimateChangeMeets2004"/>
    <w:p>
      <w:pPr>
        <w:pStyle w:val="Bibliography"/>
      </w:pPr>
      <w:r>
        <w:t xml:space="preserve">Opdam, P., &amp; Wascher, D. (2004). Climate change meets habitat fragmentation: Linking landscape and biogeographical scale levels in research and conservation.</w:t>
      </w:r>
      <w:r>
        <w:t xml:space="preserve"> </w:t>
      </w:r>
      <w:r>
        <w:rPr>
          <w:iCs/>
          <w:i/>
        </w:rPr>
        <w:t xml:space="preserve">Biological Conservation</w:t>
      </w:r>
      <w:r>
        <w:t xml:space="preserve">,</w:t>
      </w:r>
      <w:r>
        <w:t xml:space="preserve"> </w:t>
      </w:r>
      <w:r>
        <w:rPr>
          <w:iCs/>
          <w:i/>
        </w:rPr>
        <w:t xml:space="preserve">117</w:t>
      </w:r>
      <w:r>
        <w:t xml:space="preserve">(3), 285–297.</w:t>
      </w:r>
    </w:p>
    <w:bookmarkEnd w:id="190"/>
    <w:bookmarkStart w:id="192"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1">
        <w:r>
          <w:rPr>
            <w:rStyle w:val="Hyperlink"/>
          </w:rPr>
          <w:t xml:space="preserve">https://doi.org/10.1111/1365-2656.13467</w:t>
        </w:r>
      </w:hyperlink>
    </w:p>
    <w:bookmarkEnd w:id="192"/>
    <w:bookmarkStart w:id="193"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3"/>
    <w:bookmarkStart w:id="195" w:name="Xc7896ee722167ea25b03e00d6088e22ccfe6492"/>
    <w:p>
      <w:pPr>
        <w:pStyle w:val="Bibliography"/>
      </w:pPr>
      <w:r>
        <w:t xml:space="preserve">Payton, M. E., Greenstone, M. H., &amp; Schenker, N. (2003). Overlapping confidence intervals or standard error intervals:</w:t>
      </w:r>
      <w:r>
        <w:t xml:space="preserve"> </w:t>
      </w:r>
      <w:r>
        <w:t xml:space="preserve">What</w:t>
      </w:r>
      <w:r>
        <w:t xml:space="preserve"> </w:t>
      </w:r>
      <w:r>
        <w:t xml:space="preserve">do they mean in terms of statistical significance?</w:t>
      </w:r>
      <w:r>
        <w:t xml:space="preserve"> </w:t>
      </w:r>
      <w:r>
        <w:rPr>
          <w:iCs/>
          <w:i/>
        </w:rPr>
        <w:t xml:space="preserve">Journal of Insect Science</w:t>
      </w:r>
      <w:r>
        <w:t xml:space="preserve">,</w:t>
      </w:r>
      <w:r>
        <w:t xml:space="preserve"> </w:t>
      </w:r>
      <w:r>
        <w:rPr>
          <w:iCs/>
          <w:i/>
        </w:rPr>
        <w:t xml:space="preserve">3</w:t>
      </w:r>
      <w:r>
        <w:t xml:space="preserve">(34), 1–6.</w:t>
      </w:r>
      <w:r>
        <w:t xml:space="preserve"> </w:t>
      </w:r>
      <w:hyperlink r:id="rId194">
        <w:r>
          <w:rPr>
            <w:rStyle w:val="Hyperlink"/>
          </w:rPr>
          <w:t xml:space="preserve">https://doi.org/10.1673/031.003.3401</w:t>
        </w:r>
      </w:hyperlink>
    </w:p>
    <w:bookmarkEnd w:id="195"/>
    <w:bookmarkStart w:id="196" w:name="ref-pedersenPatchworkComposerPlots2020"/>
    <w:p>
      <w:pPr>
        <w:pStyle w:val="Bibliography"/>
      </w:pPr>
      <w:r>
        <w:t xml:space="preserve">Pedersen, T. L. (2020).</w:t>
      </w:r>
      <w:r>
        <w:t xml:space="preserve"> </w:t>
      </w:r>
      <w:r>
        <w:rPr>
          <w:iCs/>
          <w:i/>
        </w:rPr>
        <w:t xml:space="preserve">Patchwork:</w:t>
      </w:r>
      <w:r>
        <w:rPr>
          <w:iCs/>
          <w:i/>
        </w:rPr>
        <w:t xml:space="preserve"> </w:t>
      </w:r>
      <w:r>
        <w:rPr>
          <w:iCs/>
          <w:i/>
        </w:rPr>
        <w:t xml:space="preserve">The</w:t>
      </w:r>
      <w:r>
        <w:rPr>
          <w:iCs/>
          <w:i/>
        </w:rPr>
        <w:t xml:space="preserve"> </w:t>
      </w:r>
      <w:r>
        <w:rPr>
          <w:iCs/>
          <w:i/>
        </w:rPr>
        <w:t xml:space="preserve">composer of plots</w:t>
      </w:r>
      <w:r>
        <w:t xml:space="preserve"> </w:t>
      </w:r>
      <w:r>
        <w:t xml:space="preserve">[Manual].</w:t>
      </w:r>
    </w:p>
    <w:bookmarkEnd w:id="196"/>
    <w:bookmarkStart w:id="198"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7">
        <w:r>
          <w:rPr>
            <w:rStyle w:val="Hyperlink"/>
          </w:rPr>
          <w:t xml:space="preserve">https://doi.org/10.1111/j.1469-8137.2010.03359.x</w:t>
        </w:r>
      </w:hyperlink>
    </w:p>
    <w:bookmarkEnd w:id="198"/>
    <w:bookmarkStart w:id="200"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9">
        <w:r>
          <w:rPr>
            <w:rStyle w:val="Hyperlink"/>
          </w:rPr>
          <w:t xml:space="preserve">https://doi.org/10.1016/j.ecoinf.2020.101178</w:t>
        </w:r>
      </w:hyperlink>
    </w:p>
    <w:bookmarkEnd w:id="200"/>
    <w:bookmarkStart w:id="202"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201">
        <w:r>
          <w:rPr>
            <w:rStyle w:val="Hyperlink"/>
          </w:rPr>
          <w:t xml:space="preserve">https://doi.org/10.1007/s11240-012-0160-7</w:t>
        </w:r>
      </w:hyperlink>
    </w:p>
    <w:bookmarkEnd w:id="202"/>
    <w:bookmarkStart w:id="203"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3"/>
    <w:bookmarkStart w:id="205"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4">
        <w:r>
          <w:rPr>
            <w:rStyle w:val="Hyperlink"/>
          </w:rPr>
          <w:t xml:space="preserve">https://doi.org/10.1590/1809-43921992224534</w:t>
        </w:r>
      </w:hyperlink>
    </w:p>
    <w:bookmarkEnd w:id="205"/>
    <w:bookmarkStart w:id="206"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6"/>
    <w:bookmarkStart w:id="208"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7">
        <w:r>
          <w:rPr>
            <w:rStyle w:val="Hyperlink"/>
          </w:rPr>
          <w:t xml:space="preserve">https://doi.org/10.7717/peerj.9958</w:t>
        </w:r>
      </w:hyperlink>
    </w:p>
    <w:bookmarkEnd w:id="208"/>
    <w:bookmarkStart w:id="210"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9">
        <w:r>
          <w:rPr>
            <w:rStyle w:val="Hyperlink"/>
          </w:rPr>
          <w:t xml:space="preserve">https://doi.org/10.1017/S0266467498000571</w:t>
        </w:r>
      </w:hyperlink>
    </w:p>
    <w:bookmarkEnd w:id="210"/>
    <w:bookmarkStart w:id="212"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11">
        <w:r>
          <w:rPr>
            <w:rStyle w:val="Hyperlink"/>
          </w:rPr>
          <w:t xml:space="preserve">https://doi.org/10.1111/1365-2745.12334</w:t>
        </w:r>
      </w:hyperlink>
    </w:p>
    <w:bookmarkEnd w:id="212"/>
    <w:bookmarkStart w:id="214" w:name="ref-sapsfordChickenEggWhich2017"/>
    <w:p>
      <w:pPr>
        <w:pStyle w:val="Bibliography"/>
      </w:pPr>
      <w:r>
        <w:t xml:space="preserve">Sapsford, S. J., Paap, T., Hardy, G. E. St. J., &amp; Burgess, T. I. (2017). The</w:t>
      </w:r>
      <w:r>
        <w:t xml:space="preserve"> </w:t>
      </w:r>
      <w:r>
        <w:t xml:space="preserve">‘chicken or the egg’</w:t>
      </w:r>
      <w:r>
        <w:t xml:space="preserve">: Which comes first, forest tree decline or loss of mycorrhizae?</w:t>
      </w:r>
      <w:r>
        <w:t xml:space="preserve"> </w:t>
      </w:r>
      <w:r>
        <w:rPr>
          <w:iCs/>
          <w:i/>
        </w:rPr>
        <w:t xml:space="preserve">Plant Ecology</w:t>
      </w:r>
      <w:r>
        <w:t xml:space="preserve">,</w:t>
      </w:r>
      <w:r>
        <w:t xml:space="preserve"> </w:t>
      </w:r>
      <w:r>
        <w:rPr>
          <w:iCs/>
          <w:i/>
        </w:rPr>
        <w:t xml:space="preserve">218</w:t>
      </w:r>
      <w:r>
        <w:t xml:space="preserve">(9), 1093–1106.</w:t>
      </w:r>
      <w:r>
        <w:t xml:space="preserve"> </w:t>
      </w:r>
      <w:hyperlink r:id="rId213">
        <w:r>
          <w:rPr>
            <w:rStyle w:val="Hyperlink"/>
          </w:rPr>
          <w:t xml:space="preserve">https://doi.org/10.1007/s11258-017-0754-6</w:t>
        </w:r>
      </w:hyperlink>
    </w:p>
    <w:bookmarkEnd w:id="214"/>
    <w:bookmarkStart w:id="216"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5">
        <w:r>
          <w:rPr>
            <w:rStyle w:val="Hyperlink"/>
          </w:rPr>
          <w:t xml:space="preserve">https://doi.org/10.1046/j.1365-2745.1999.00332.x</w:t>
        </w:r>
      </w:hyperlink>
    </w:p>
    <w:bookmarkEnd w:id="216"/>
    <w:bookmarkStart w:id="218"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7">
        <w:r>
          <w:rPr>
            <w:rStyle w:val="Hyperlink"/>
          </w:rPr>
          <w:t xml:space="preserve">https://doi.org/10.1111/btp.12355</w:t>
        </w:r>
      </w:hyperlink>
    </w:p>
    <w:bookmarkEnd w:id="218"/>
    <w:bookmarkStart w:id="220"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9">
        <w:r>
          <w:rPr>
            <w:rStyle w:val="Hyperlink"/>
          </w:rPr>
          <w:t xml:space="preserve">https://doi.org/10.1038/nature23021</w:t>
        </w:r>
      </w:hyperlink>
    </w:p>
    <w:bookmarkEnd w:id="220"/>
    <w:bookmarkStart w:id="222"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21">
        <w:r>
          <w:rPr>
            <w:rStyle w:val="Hyperlink"/>
          </w:rPr>
          <w:t xml:space="preserve">https://doi.org/10.1002/ecy.2677</w:t>
        </w:r>
      </w:hyperlink>
    </w:p>
    <w:bookmarkEnd w:id="222"/>
    <w:bookmarkStart w:id="224" w:name="ref-scottDifferingNonlinearLagged2021"/>
    <w:p>
      <w:pPr>
        <w:pStyle w:val="Bibliography"/>
      </w:pPr>
      <w:r>
        <w:t xml:space="preserve">Scott, E. R., Wei, J.-P., Li, X., Han, W.-Y., &amp; Orians, C. M. (2021). Differing non-linear, lagged effects of temperature and precipitation on an insect herbivore and its host plant.</w:t>
      </w:r>
      <w:r>
        <w:t xml:space="preserve"> </w:t>
      </w:r>
      <w:r>
        <w:rPr>
          <w:iCs/>
          <w:i/>
        </w:rPr>
        <w:t xml:space="preserve">Ecological Entomology</w:t>
      </w:r>
      <w:r>
        <w:t xml:space="preserve">,</w:t>
      </w:r>
      <w:r>
        <w:t xml:space="preserve"> </w:t>
      </w:r>
      <w:r>
        <w:rPr>
          <w:iCs/>
          <w:i/>
        </w:rPr>
        <w:t xml:space="preserve">early view</w:t>
      </w:r>
      <w:r>
        <w:t xml:space="preserve">.</w:t>
      </w:r>
      <w:r>
        <w:t xml:space="preserve"> </w:t>
      </w:r>
      <w:hyperlink r:id="rId223">
        <w:r>
          <w:rPr>
            <w:rStyle w:val="Hyperlink"/>
          </w:rPr>
          <w:t xml:space="preserve">https://doi.org/10.1111/een.13023</w:t>
        </w:r>
      </w:hyperlink>
    </w:p>
    <w:bookmarkEnd w:id="224"/>
    <w:bookmarkStart w:id="226" w:name="ref-selwoodEffectsClimateChange2015"/>
    <w:p>
      <w:pPr>
        <w:pStyle w:val="Bibliography"/>
      </w:pPr>
      <w:r>
        <w:t xml:space="preserve">Selwood, K. E., McGeoch, M. A., &amp; Nally, R. M. (2015). The effects of climate change and land-use change on demographic rates and population viability.</w:t>
      </w:r>
      <w:r>
        <w:t xml:space="preserve"> </w:t>
      </w:r>
      <w:r>
        <w:rPr>
          <w:iCs/>
          <w:i/>
        </w:rPr>
        <w:t xml:space="preserve">Biological Reviews</w:t>
      </w:r>
      <w:r>
        <w:t xml:space="preserve">,</w:t>
      </w:r>
      <w:r>
        <w:t xml:space="preserve"> </w:t>
      </w:r>
      <w:r>
        <w:rPr>
          <w:iCs/>
          <w:i/>
        </w:rPr>
        <w:t xml:space="preserve">90</w:t>
      </w:r>
      <w:r>
        <w:t xml:space="preserve">(3), 837–853.</w:t>
      </w:r>
      <w:r>
        <w:t xml:space="preserve"> </w:t>
      </w:r>
      <w:hyperlink r:id="rId225">
        <w:r>
          <w:rPr>
            <w:rStyle w:val="Hyperlink"/>
          </w:rPr>
          <w:t xml:space="preserve">https://doi.org/10.1111/brv.12136</w:t>
        </w:r>
      </w:hyperlink>
    </w:p>
    <w:bookmarkEnd w:id="226"/>
    <w:bookmarkStart w:id="228"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7">
        <w:r>
          <w:rPr>
            <w:rStyle w:val="Hyperlink"/>
          </w:rPr>
          <w:t xml:space="preserve">https://doi.org/10.1038/s41559-020-01368-x</w:t>
        </w:r>
      </w:hyperlink>
    </w:p>
    <w:bookmarkEnd w:id="228"/>
    <w:bookmarkStart w:id="229" w:name="ref-simpsonGratiaGracefulGgplot2021"/>
    <w:p>
      <w:pPr>
        <w:pStyle w:val="Bibliography"/>
      </w:pPr>
      <w:r>
        <w:t xml:space="preserve">Simpson, G. L. (2021).</w:t>
      </w:r>
      <w:r>
        <w:t xml:space="preserve"> </w:t>
      </w:r>
      <w:r>
        <w:rPr>
          <w:iCs/>
          <w:i/>
        </w:rPr>
        <w:t xml:space="preserve">Gratia:</w:t>
      </w:r>
      <w:r>
        <w:rPr>
          <w:iCs/>
          <w:i/>
        </w:rPr>
        <w:t xml:space="preserve"> </w:t>
      </w:r>
      <w:r>
        <w:rPr>
          <w:iCs/>
          <w:i/>
        </w:rPr>
        <w:t xml:space="preserve">Graceful</w:t>
      </w:r>
      <w:r>
        <w:rPr>
          <w:iCs/>
          <w:i/>
        </w:rPr>
        <w:t xml:space="preserve"> </w:t>
      </w:r>
      <w:r>
        <w:rPr>
          <w:iCs/>
          <w:i/>
        </w:rPr>
        <w:t xml:space="preserve">’ggplot’-</w:t>
      </w:r>
      <w:r>
        <w:rPr>
          <w:iCs/>
          <w:i/>
        </w:rPr>
        <w:t xml:space="preserve">Based</w:t>
      </w:r>
      <w:r>
        <w:rPr>
          <w:iCs/>
          <w:i/>
        </w:rPr>
        <w:t xml:space="preserve"> </w:t>
      </w:r>
      <w:r>
        <w:rPr>
          <w:iCs/>
          <w:i/>
        </w:rPr>
        <w:t xml:space="preserve">graphics and other functions for</w:t>
      </w:r>
      <w:r>
        <w:rPr>
          <w:iCs/>
          <w:i/>
        </w:rPr>
        <w:t xml:space="preserve"> </w:t>
      </w:r>
      <w:r>
        <w:rPr>
          <w:iCs/>
          <w:i/>
        </w:rPr>
        <w:t xml:space="preserve">GAMs</w:t>
      </w:r>
      <w:r>
        <w:rPr>
          <w:iCs/>
          <w:i/>
        </w:rPr>
        <w:t xml:space="preserve"> </w:t>
      </w:r>
      <w:r>
        <w:rPr>
          <w:iCs/>
          <w:i/>
        </w:rPr>
        <w:t xml:space="preserve">fitted using ’mgcv’</w:t>
      </w:r>
      <w:r>
        <w:t xml:space="preserve"> </w:t>
      </w:r>
      <w:r>
        <w:t xml:space="preserve">[Manual].</w:t>
      </w:r>
    </w:p>
    <w:bookmarkEnd w:id="229"/>
    <w:bookmarkStart w:id="231"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30">
        <w:r>
          <w:rPr>
            <w:rStyle w:val="Hyperlink"/>
          </w:rPr>
          <w:t xml:space="preserve">https://doi.org/10.1111/j.1365-2745.2005.01008.x</w:t>
        </w:r>
      </w:hyperlink>
    </w:p>
    <w:bookmarkEnd w:id="231"/>
    <w:bookmarkStart w:id="233"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32">
        <w:r>
          <w:rPr>
            <w:rStyle w:val="Hyperlink"/>
          </w:rPr>
          <w:t xml:space="preserve">https://doi.org/10.2307/2387865</w:t>
        </w:r>
      </w:hyperlink>
    </w:p>
    <w:bookmarkEnd w:id="233"/>
    <w:bookmarkStart w:id="235"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34">
        <w:r>
          <w:rPr>
            <w:rStyle w:val="Hyperlink"/>
          </w:rPr>
          <w:t xml:space="preserve">https://doi.org/10.2307/1934961</w:t>
        </w:r>
      </w:hyperlink>
    </w:p>
    <w:bookmarkEnd w:id="235"/>
    <w:bookmarkStart w:id="236"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6"/>
    <w:bookmarkStart w:id="238"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7">
        <w:r>
          <w:rPr>
            <w:rStyle w:val="Hyperlink"/>
          </w:rPr>
          <w:t xml:space="preserve">https://doi.org/10.1038/nature25508</w:t>
        </w:r>
      </w:hyperlink>
    </w:p>
    <w:bookmarkEnd w:id="238"/>
    <w:bookmarkStart w:id="240"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9">
        <w:r>
          <w:rPr>
            <w:rStyle w:val="Hyperlink"/>
          </w:rPr>
          <w:t xml:space="preserve">https://doi.org/10.1111/2041-210X.12486</w:t>
        </w:r>
      </w:hyperlink>
    </w:p>
    <w:bookmarkEnd w:id="240"/>
    <w:bookmarkStart w:id="242"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41">
        <w:r>
          <w:rPr>
            <w:rStyle w:val="Hyperlink"/>
          </w:rPr>
          <w:t xml:space="preserve">https://doi.org/10.1002/ecy.2163</w:t>
        </w:r>
      </w:hyperlink>
    </w:p>
    <w:bookmarkEnd w:id="242"/>
    <w:bookmarkStart w:id="244"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43">
        <w:r>
          <w:rPr>
            <w:rStyle w:val="Hyperlink"/>
          </w:rPr>
          <w:t xml:space="preserve">https://doi.org/10.1111/j.1744-7429.2003.tb00278.x</w:t>
        </w:r>
      </w:hyperlink>
    </w:p>
    <w:bookmarkEnd w:id="244"/>
    <w:bookmarkStart w:id="246" w:name="X2990ffae4b5729b697c683600dc97fa0cd90c99"/>
    <w:p>
      <w:pPr>
        <w:pStyle w:val="Bibliography"/>
      </w:pPr>
      <w:r>
        <w:t xml:space="preserve">Uriarte, M.,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45">
        <w:r>
          <w:rPr>
            <w:rStyle w:val="Hyperlink"/>
          </w:rPr>
          <w:t xml:space="preserve">https://doi.org/10.1890/10-0709.1</w:t>
        </w:r>
      </w:hyperlink>
    </w:p>
    <w:bookmarkEnd w:id="246"/>
    <w:bookmarkStart w:id="248" w:name="Xe41534ce2b5b4872638437400c0ba46f5979352"/>
    <w:p>
      <w:pPr>
        <w:pStyle w:val="Bibliography"/>
      </w:pPr>
      <w:r>
        <w:t xml:space="preserve">Uriarte, M., Bruna, E. M., Rubim, P., Anciães, M., &amp; Jonckheere, I. (2010). Effects of forest fragmentation on the seedling recruitment of a tropical herb: assessing seed vs. safe-site limitation.</w:t>
      </w:r>
      <w:r>
        <w:t xml:space="preserve"> </w:t>
      </w:r>
      <w:r>
        <w:rPr>
          <w:iCs/>
          <w:i/>
        </w:rPr>
        <w:t xml:space="preserve">Ecology</w:t>
      </w:r>
      <w:r>
        <w:t xml:space="preserve">,</w:t>
      </w:r>
      <w:r>
        <w:t xml:space="preserve"> </w:t>
      </w:r>
      <w:r>
        <w:rPr>
          <w:iCs/>
          <w:i/>
        </w:rPr>
        <w:t xml:space="preserve">91</w:t>
      </w:r>
      <w:r>
        <w:t xml:space="preserve">(5), 1317–1328.</w:t>
      </w:r>
      <w:r>
        <w:t xml:space="preserve"> </w:t>
      </w:r>
      <w:hyperlink r:id="rId247">
        <w:r>
          <w:rPr>
            <w:rStyle w:val="Hyperlink"/>
          </w:rPr>
          <w:t xml:space="preserve">https://doi.org/10.1890/09-0785.1</w:t>
        </w:r>
      </w:hyperlink>
    </w:p>
    <w:bookmarkEnd w:id="248"/>
    <w:bookmarkStart w:id="250"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Global Change Biology</w:t>
      </w:r>
      <w:r>
        <w:t xml:space="preserve">,</w:t>
      </w:r>
      <w:r>
        <w:t xml:space="preserve"> </w:t>
      </w:r>
      <w:r>
        <w:rPr>
          <w:iCs/>
          <w:i/>
        </w:rPr>
        <w:t xml:space="preserve">24</w:t>
      </w:r>
      <w:r>
        <w:t xml:space="preserve">(2), e692–e704.</w:t>
      </w:r>
      <w:r>
        <w:t xml:space="preserve"> </w:t>
      </w:r>
      <w:hyperlink r:id="rId249">
        <w:r>
          <w:rPr>
            <w:rStyle w:val="Hyperlink"/>
          </w:rPr>
          <w:t xml:space="preserve">https://doi.org/10.1111/gcb.14000</w:t>
        </w:r>
      </w:hyperlink>
    </w:p>
    <w:bookmarkEnd w:id="250"/>
    <w:bookmarkStart w:id="252" w:name="ref-uriarteImpactsClimateVariability2016"/>
    <w:p>
      <w:pPr>
        <w:pStyle w:val="Bibliography"/>
      </w:pPr>
      <w:r>
        <w:t xml:space="preserve">Uriarte, M.,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51">
        <w:r>
          <w:rPr>
            <w:rStyle w:val="Hyperlink"/>
          </w:rPr>
          <w:t xml:space="preserve">https://doi.org/10.1111/btp.12380</w:t>
        </w:r>
      </w:hyperlink>
    </w:p>
    <w:bookmarkEnd w:id="252"/>
    <w:bookmarkStart w:id="254"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53">
        <w:r>
          <w:rPr>
            <w:rStyle w:val="Hyperlink"/>
          </w:rPr>
          <w:t xml:space="preserve">https://doi.org/10.1890/03-5093</w:t>
        </w:r>
      </w:hyperlink>
    </w:p>
    <w:bookmarkEnd w:id="254"/>
    <w:bookmarkStart w:id="256"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55">
        <w:r>
          <w:rPr>
            <w:rStyle w:val="Hyperlink"/>
          </w:rPr>
          <w:t xml:space="preserve">https://doi.org/10.1175/2009JCLI2909.1</w:t>
        </w:r>
      </w:hyperlink>
    </w:p>
    <w:bookmarkEnd w:id="256"/>
    <w:bookmarkStart w:id="258"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7">
        <w:r>
          <w:rPr>
            <w:rStyle w:val="Hyperlink"/>
          </w:rPr>
          <w:t xml:space="preserve">https://doi.org/10.1111/1365-2745.12757</w:t>
        </w:r>
      </w:hyperlink>
    </w:p>
    <w:bookmarkEnd w:id="258"/>
    <w:bookmarkStart w:id="259" w:name="ref-wickhamGgplot2ElegantGraphics2016"/>
    <w:p>
      <w:pPr>
        <w:pStyle w:val="Bibliography"/>
      </w:pPr>
      <w:r>
        <w:t xml:space="preserve">Wickham, H. (2016).</w:t>
      </w:r>
      <w:r>
        <w:t xml:space="preserve"> </w:t>
      </w:r>
      <w:r>
        <w:rPr>
          <w:iCs/>
          <w:i/>
        </w:rPr>
        <w:t xml:space="preserve">Ggplot2:</w:t>
      </w:r>
      <w:r>
        <w:rPr>
          <w:iCs/>
          <w:i/>
        </w:rPr>
        <w:t xml:space="preserve"> </w:t>
      </w:r>
      <w:r>
        <w:rPr>
          <w:iCs/>
          <w:i/>
        </w:rPr>
        <w:t xml:space="preserve">Elegant</w:t>
      </w:r>
      <w:r>
        <w:rPr>
          <w:iCs/>
          <w:i/>
        </w:rPr>
        <w:t xml:space="preserve"> </w:t>
      </w:r>
      <w:r>
        <w:rPr>
          <w:iCs/>
          <w:i/>
        </w:rPr>
        <w:t xml:space="preserve">graphics for data analysis</w:t>
      </w:r>
      <w:r>
        <w:t xml:space="preserve">.</w:t>
      </w:r>
      <w:r>
        <w:t xml:space="preserve"> </w:t>
      </w:r>
      <w:r>
        <w:t xml:space="preserve">Springer-Verlag New York</w:t>
      </w:r>
      <w:r>
        <w:t xml:space="preserve">.</w:t>
      </w:r>
    </w:p>
    <w:bookmarkEnd w:id="259"/>
    <w:bookmarkStart w:id="261"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60">
        <w:r>
          <w:rPr>
            <w:rStyle w:val="Hyperlink"/>
          </w:rPr>
          <w:t xml:space="preserve">https://doi.org/10.1111/1365-2745.12369</w:t>
        </w:r>
      </w:hyperlink>
    </w:p>
    <w:bookmarkEnd w:id="261"/>
    <w:bookmarkStart w:id="263"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62">
        <w:r>
          <w:rPr>
            <w:rStyle w:val="Hyperlink"/>
          </w:rPr>
          <w:t xml:space="preserve">https://doi.org/10.1046/j.1523-1739.2000.99298.x</w:t>
        </w:r>
      </w:hyperlink>
    </w:p>
    <w:bookmarkEnd w:id="263"/>
    <w:bookmarkStart w:id="264"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64"/>
    <w:bookmarkStart w:id="266" w:name="ref-wrightSeasonalDroughtSoil1992"/>
    <w:p>
      <w:pPr>
        <w:pStyle w:val="Bibliography"/>
      </w:pPr>
      <w:r>
        <w:t xml:space="preserve">Wright, S. J.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65">
        <w:r>
          <w:rPr>
            <w:rStyle w:val="Hyperlink"/>
          </w:rPr>
          <w:t xml:space="preserve">https://doi.org/10.1016/0169-5347(92)90171-7</w:t>
        </w:r>
      </w:hyperlink>
    </w:p>
    <w:bookmarkEnd w:id="266"/>
    <w:bookmarkStart w:id="268"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7">
        <w:r>
          <w:rPr>
            <w:rStyle w:val="Hyperlink"/>
          </w:rPr>
          <w:t xml:space="preserve">https://doi.org/10.1111/j.1461-0248.2005.00851.x</w:t>
        </w:r>
      </w:hyperlink>
    </w:p>
    <w:bookmarkEnd w:id="268"/>
    <w:bookmarkStart w:id="269"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9"/>
    <w:bookmarkStart w:id="271"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70">
        <w:r>
          <w:rPr>
            <w:rStyle w:val="Hyperlink"/>
          </w:rPr>
          <w:t xml:space="preserve">https://doi.org/10.1002/joc.4518</w:t>
        </w:r>
      </w:hyperlink>
    </w:p>
    <w:bookmarkEnd w:id="271"/>
    <w:bookmarkStart w:id="272"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72"/>
    <w:bookmarkStart w:id="274"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73">
        <w:r>
          <w:rPr>
            <w:rStyle w:val="Hyperlink"/>
          </w:rPr>
          <w:t xml:space="preserve">https://doi.org/10.1088/1748-9326/3/1/014002</w:t>
        </w:r>
      </w:hyperlink>
    </w:p>
    <w:bookmarkEnd w:id="274"/>
    <w:bookmarkEnd w:id="275"/>
    <w:bookmarkEnd w:id="276"/>
    <w:sectPr w:rsidR="00AB409B" w:rsidRPr="00AB409B"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4672D5F8"/>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298E7AD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3DCE803A"/>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969C5F9A"/>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F8A44844"/>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B8B0D7A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8AC30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D9A4092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0B425C9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62E515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4619DF"/>
    <w:pPr>
      <w:keepNext/>
      <w:keepLines/>
      <w:spacing w:after="300" w:before="300" w:line="480" w:lineRule="auto"/>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AB409B"/>
    <w:pPr>
      <w:spacing w:line="48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 w:styleId="FollowedHyperlink" w:type="character">
    <w:name w:val="FollowedHyperlink"/>
    <w:basedOn w:val="DefaultParagraphFont"/>
    <w:semiHidden/>
    <w:unhideWhenUsed/>
    <w:rsid w:val="00AB409B"/>
    <w:rPr>
      <w:color w:themeColor="followedHyperlink"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57" Target="https://CRAN.R-project.org/package=SPEI" TargetMode="External" /><Relationship Type="http://schemas.openxmlformats.org/officeDocument/2006/relationships/hyperlink" Id="rId176" Target="https://doi.org/10.1002/ecs2.1708" TargetMode="External" /><Relationship Type="http://schemas.openxmlformats.org/officeDocument/2006/relationships/hyperlink" Id="rId241" Target="https://doi.org/10.1002/ecy.2163" TargetMode="External" /><Relationship Type="http://schemas.openxmlformats.org/officeDocument/2006/relationships/hyperlink" Id="rId221" Target="https://doi.org/10.1002/ecy.2677" TargetMode="External" /><Relationship Type="http://schemas.openxmlformats.org/officeDocument/2006/relationships/hyperlink" Id="rId70" Target="https://doi.org/10.1002/ecy.2706" TargetMode="External" /><Relationship Type="http://schemas.openxmlformats.org/officeDocument/2006/relationships/hyperlink" Id="rId270" Target="https://doi.org/10.1002/joc.4518" TargetMode="External" /><Relationship Type="http://schemas.openxmlformats.org/officeDocument/2006/relationships/hyperlink" Id="rId74" Target="https://doi.org/10.1007/s00442-002-0956-y" TargetMode="External" /><Relationship Type="http://schemas.openxmlformats.org/officeDocument/2006/relationships/hyperlink" Id="rId49" Target="https://doi.org/10.1007/s00442-017-3879-3" TargetMode="External" /><Relationship Type="http://schemas.openxmlformats.org/officeDocument/2006/relationships/hyperlink" Id="rId201" Target="https://doi.org/10.1007/s11240-012-0160-7" TargetMode="External" /><Relationship Type="http://schemas.openxmlformats.org/officeDocument/2006/relationships/hyperlink" Id="rId213" Target="https://doi.org/10.1007/s11258-017-0754-6" TargetMode="External" /><Relationship Type="http://schemas.openxmlformats.org/officeDocument/2006/relationships/hyperlink" Id="rId55" Target="https://doi.org/10.1007/s11284-016-1411-6" TargetMode="External" /><Relationship Type="http://schemas.openxmlformats.org/officeDocument/2006/relationships/hyperlink" Id="rId265" Target="https://doi.org/10.1016/0169-5347(92)90171-7" TargetMode="External" /><Relationship Type="http://schemas.openxmlformats.org/officeDocument/2006/relationships/hyperlink" Id="rId66" Target="https://doi.org/10.1016/j.biocon.2008.04.024" TargetMode="External" /><Relationship Type="http://schemas.openxmlformats.org/officeDocument/2006/relationships/hyperlink" Id="rId126"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9" Target="https://doi.org/10.1016/j.ecoinf.2020.101178" TargetMode="External" /><Relationship Type="http://schemas.openxmlformats.org/officeDocument/2006/relationships/hyperlink" Id="rId128" Target="https://doi.org/10.1016/j.ecolmodel.2019.03.007" TargetMode="External" /><Relationship Type="http://schemas.openxmlformats.org/officeDocument/2006/relationships/hyperlink" Id="rId182" Target="https://doi.org/10.1016/j.foreco.2003.10.013" TargetMode="External" /><Relationship Type="http://schemas.openxmlformats.org/officeDocument/2006/relationships/hyperlink" Id="rId68"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2" Target="https://doi.org/10.1017/S0266467403001081" TargetMode="External" /><Relationship Type="http://schemas.openxmlformats.org/officeDocument/2006/relationships/hyperlink" Id="rId209" Target="https://doi.org/10.1017/S0266467498000571" TargetMode="External" /><Relationship Type="http://schemas.openxmlformats.org/officeDocument/2006/relationships/hyperlink" Id="rId144"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100" Target="https://doi.org/10.1038/35003563" TargetMode="External" /><Relationship Type="http://schemas.openxmlformats.org/officeDocument/2006/relationships/hyperlink" Id="rId72" Target="https://doi.org/10.1038/45963" TargetMode="External" /><Relationship Type="http://schemas.openxmlformats.org/officeDocument/2006/relationships/hyperlink" Id="rId219" Target="https://doi.org/10.1038/nature23021" TargetMode="External" /><Relationship Type="http://schemas.openxmlformats.org/officeDocument/2006/relationships/hyperlink" Id="rId237" Target="https://doi.org/10.1038/nature25508" TargetMode="External" /><Relationship Type="http://schemas.openxmlformats.org/officeDocument/2006/relationships/hyperlink" Id="rId188" Target="https://doi.org/10.1038/nclimate2746" TargetMode="External" /><Relationship Type="http://schemas.openxmlformats.org/officeDocument/2006/relationships/hyperlink" Id="rId227" Target="https://doi.org/10.1038/s41559-020-01368-x" TargetMode="External" /><Relationship Type="http://schemas.openxmlformats.org/officeDocument/2006/relationships/hyperlink" Id="rId215" Target="https://doi.org/10.1046/j.1365-2745.1999.00332.x" TargetMode="External" /><Relationship Type="http://schemas.openxmlformats.org/officeDocument/2006/relationships/hyperlink" Id="rId84" Target="https://doi.org/10.1046/j.1365-2745.2002.00707.x" TargetMode="External" /><Relationship Type="http://schemas.openxmlformats.org/officeDocument/2006/relationships/hyperlink" Id="rId262" Target="https://doi.org/10.1046/j.1523-1739.2000.99298.x" TargetMode="External" /><Relationship Type="http://schemas.openxmlformats.org/officeDocument/2006/relationships/hyperlink" Id="rId162" Target="https://doi.org/10.1046/j.1523-1739.2001.01093.x" TargetMode="External" /><Relationship Type="http://schemas.openxmlformats.org/officeDocument/2006/relationships/hyperlink" Id="rId80" Target="https://doi.org/10.1046/j.1523-1739.2002.99494.x" TargetMode="External" /><Relationship Type="http://schemas.openxmlformats.org/officeDocument/2006/relationships/hyperlink" Id="rId160"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51" Target="https://doi.org/10.1073/pnas.1611855114" TargetMode="External" /><Relationship Type="http://schemas.openxmlformats.org/officeDocument/2006/relationships/hyperlink" Id="rId273" Target="https://doi.org/10.1088/1748-9326/3/1/014002" TargetMode="External" /><Relationship Type="http://schemas.openxmlformats.org/officeDocument/2006/relationships/hyperlink" Id="rId148" Target="https://doi.org/10.1088/1748-9326/9/12/124021" TargetMode="External" /><Relationship Type="http://schemas.openxmlformats.org/officeDocument/2006/relationships/hyperlink" Id="rId152" Target="https://doi.org/10.1111/1365-2435.13145" TargetMode="External" /><Relationship Type="http://schemas.openxmlformats.org/officeDocument/2006/relationships/hyperlink" Id="rId191" Target="https://doi.org/10.1111/1365-2656.13467" TargetMode="External" /><Relationship Type="http://schemas.openxmlformats.org/officeDocument/2006/relationships/hyperlink" Id="rId211" Target="https://doi.org/10.1111/1365-2745.12334" TargetMode="External" /><Relationship Type="http://schemas.openxmlformats.org/officeDocument/2006/relationships/hyperlink" Id="rId260"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7" Target="https://doi.org/10.1111/1365-2745.12757" TargetMode="External" /><Relationship Type="http://schemas.openxmlformats.org/officeDocument/2006/relationships/hyperlink" Id="rId47" Target="https://doi.org/10.1111/1365-2745.13595" TargetMode="External" /><Relationship Type="http://schemas.openxmlformats.org/officeDocument/2006/relationships/hyperlink" Id="rId140" Target="https://doi.org/10.1111/1749-4877.12167" TargetMode="External" /><Relationship Type="http://schemas.openxmlformats.org/officeDocument/2006/relationships/hyperlink" Id="rId239" Target="https://doi.org/10.1111/2041-210X.12486" TargetMode="External" /><Relationship Type="http://schemas.openxmlformats.org/officeDocument/2006/relationships/hyperlink" Id="rId132" Target="https://doi.org/10.1111/biom.12645" TargetMode="External" /><Relationship Type="http://schemas.openxmlformats.org/officeDocument/2006/relationships/hyperlink" Id="rId225" Target="https://doi.org/10.1111/brv.12136" TargetMode="External" /><Relationship Type="http://schemas.openxmlformats.org/officeDocument/2006/relationships/hyperlink" Id="rId61" Target="https://doi.org/10.1111/btp.12010" TargetMode="External" /><Relationship Type="http://schemas.openxmlformats.org/officeDocument/2006/relationships/hyperlink" Id="rId217" Target="https://doi.org/10.1111/btp.12355" TargetMode="External" /><Relationship Type="http://schemas.openxmlformats.org/officeDocument/2006/relationships/hyperlink" Id="rId251" Target="https://doi.org/10.1111/btp.12380" TargetMode="External" /><Relationship Type="http://schemas.openxmlformats.org/officeDocument/2006/relationships/hyperlink" Id="rId223" Target="https://doi.org/10.1111/een.13023" TargetMode="External" /><Relationship Type="http://schemas.openxmlformats.org/officeDocument/2006/relationships/hyperlink" Id="rId186" Target="https://doi.org/10.1111/ele.12399" TargetMode="External" /><Relationship Type="http://schemas.openxmlformats.org/officeDocument/2006/relationships/hyperlink" Id="rId150" Target="https://doi.org/10.1111/ele.13485" TargetMode="External" /><Relationship Type="http://schemas.openxmlformats.org/officeDocument/2006/relationships/hyperlink" Id="rId136" Target="https://doi.org/10.1111/ele.13659" TargetMode="External" /><Relationship Type="http://schemas.openxmlformats.org/officeDocument/2006/relationships/hyperlink" Id="rId249"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124" Target="https://doi.org/10.1111/j.1365-2486.2012.02719.x" TargetMode="External" /><Relationship Type="http://schemas.openxmlformats.org/officeDocument/2006/relationships/hyperlink" Id="rId230" Target="https://doi.org/10.1111/j.1365-2745.2005.01008.x" TargetMode="External" /><Relationship Type="http://schemas.openxmlformats.org/officeDocument/2006/relationships/hyperlink" Id="rId267" Target="https://doi.org/10.1111/j.1461-0248.2005.00851.x" TargetMode="External" /><Relationship Type="http://schemas.openxmlformats.org/officeDocument/2006/relationships/hyperlink" Id="rId197"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2" Target="https://doi.org/10.1111/j.1600-0706.2011.20273.x" TargetMode="External" /><Relationship Type="http://schemas.openxmlformats.org/officeDocument/2006/relationships/hyperlink" Id="rId78" Target="https://doi.org/10.1111/j.1654-1103.2009.01060.x" TargetMode="External" /><Relationship Type="http://schemas.openxmlformats.org/officeDocument/2006/relationships/hyperlink" Id="rId104" Target="https://doi.org/10.1111/j.1744-7429.1999.tb00113.x" TargetMode="External" /><Relationship Type="http://schemas.openxmlformats.org/officeDocument/2006/relationships/hyperlink" Id="rId243"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5"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3" Target="https://doi.org/10.1126/science.aab1833" TargetMode="External" /><Relationship Type="http://schemas.openxmlformats.org/officeDocument/2006/relationships/hyperlink" Id="rId59" Target="https://doi.org/10.1126/science.aax9387" TargetMode="External" /><Relationship Type="http://schemas.openxmlformats.org/officeDocument/2006/relationships/hyperlink" Id="rId90"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55"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4" Target="https://doi.org/10.1590/1809-43921992224534" TargetMode="External" /><Relationship Type="http://schemas.openxmlformats.org/officeDocument/2006/relationships/hyperlink" Id="rId82" Target="https://doi.org/10.1590/S0044-59672004000300012" TargetMode="External" /><Relationship Type="http://schemas.openxmlformats.org/officeDocument/2006/relationships/hyperlink" Id="rId194" Target="https://doi.org/10.1673/031.003.3401" TargetMode="External" /><Relationship Type="http://schemas.openxmlformats.org/officeDocument/2006/relationships/hyperlink" Id="rId97" Target="https://doi.org/10.17660/ActaHortic.1995.397.7" TargetMode="External" /><Relationship Type="http://schemas.openxmlformats.org/officeDocument/2006/relationships/hyperlink" Id="rId130" Target="https://doi.org/10.18637/jss.v043.i08" TargetMode="External" /><Relationship Type="http://schemas.openxmlformats.org/officeDocument/2006/relationships/hyperlink" Id="rId76" Target="https://doi.org/10.1890/0012-9658(2003)084[0932:APPIFH]2.0.CO;2" TargetMode="External" /><Relationship Type="http://schemas.openxmlformats.org/officeDocument/2006/relationships/hyperlink" Id="rId253" Target="https://doi.org/10.1890/03-5093" TargetMode="External" /><Relationship Type="http://schemas.openxmlformats.org/officeDocument/2006/relationships/hyperlink" Id="rId86" Target="https://doi.org/10.1890/04-1716" TargetMode="External" /><Relationship Type="http://schemas.openxmlformats.org/officeDocument/2006/relationships/hyperlink" Id="rId179" Target="https://doi.org/10.1890/07-0774.1" TargetMode="External" /><Relationship Type="http://schemas.openxmlformats.org/officeDocument/2006/relationships/hyperlink" Id="rId247" Target="https://doi.org/10.1890/09-0785.1" TargetMode="External" /><Relationship Type="http://schemas.openxmlformats.org/officeDocument/2006/relationships/hyperlink" Id="rId245" Target="https://doi.org/10.1890/10-0709.1" TargetMode="External" /><Relationship Type="http://schemas.openxmlformats.org/officeDocument/2006/relationships/hyperlink" Id="rId157" Target="https://doi.org/10.1890/14-0330.1" TargetMode="External" /><Relationship Type="http://schemas.openxmlformats.org/officeDocument/2006/relationships/hyperlink" Id="rId64" Target="https://doi.org/10.2307/1312085" TargetMode="External" /><Relationship Type="http://schemas.openxmlformats.org/officeDocument/2006/relationships/hyperlink" Id="rId234" Target="https://doi.org/10.2307/1934961" TargetMode="External" /><Relationship Type="http://schemas.openxmlformats.org/officeDocument/2006/relationships/hyperlink" Id="rId142" Target="https://doi.org/10.2307/1941152" TargetMode="External" /><Relationship Type="http://schemas.openxmlformats.org/officeDocument/2006/relationships/hyperlink" Id="rId232" Target="https://doi.org/10.2307/2387865" TargetMode="External" /><Relationship Type="http://schemas.openxmlformats.org/officeDocument/2006/relationships/hyperlink" Id="rId134" Target="https://doi.org/10.2307/2388737" TargetMode="External" /><Relationship Type="http://schemas.openxmlformats.org/officeDocument/2006/relationships/hyperlink" Id="rId88" Target="https://doi.org/10.3732/ajb.92.12.2101" TargetMode="External" /><Relationship Type="http://schemas.openxmlformats.org/officeDocument/2006/relationships/hyperlink" Id="rId146" Target="https://doi.org/10.5194/bg-2021-30" TargetMode="External" /><Relationship Type="http://schemas.openxmlformats.org/officeDocument/2006/relationships/hyperlink" Id="rId207" Target="https://doi.org/10.7717/peerj.9958" TargetMode="External" /><Relationship Type="http://schemas.openxmlformats.org/officeDocument/2006/relationships/hyperlink" Id="rId184" Target="https://doi.org/10.9735/0975-3710.10.3.5137-5139" TargetMode="External" /><Relationship Type="http://schemas.openxmlformats.org/officeDocument/2006/relationships/hyperlink" Id="rId155" Target="https://doi.org/ghwrqs"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181</Words>
  <Characters>1037</Characters>
  <Application>Microsoft Office Word</Application>
  <DocSecurity>0</DocSecurity>
  <Lines>8</Lines>
  <Paragraphs>2</Paragraphs>
  <ScaleCrop>false</ScaleCrop>
  <Company/>
  <LinksUpToDate>false</LinksUpToDate>
  <CharactersWithSpaces>1216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 to demographic divergence in Amazonian forest fragments</dc:title>
  <dc:creator>Eric R. Scott1,✉, María Uriarte2, and Emilio M. Bruna1,3,4</dc:creator>
  <cp:keywords/>
  <dcterms:created xsi:type="dcterms:W3CDTF">2021-08-04T19:52:13Z</dcterms:created>
  <dcterms:modified xsi:type="dcterms:W3CDTF">2021-08-04T19:52:13Z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references.bib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templates/global-change-biology.csl</vt:lpwstr>
  </property>
  <property fmtid="{D5CDD505-2E9C-101B-9397-08002B2CF9AE}" pid="15" name="date">
    <vt:lpwstr>04 August, 2021</vt:lpwstr>
  </property>
  <property fmtid="{D5CDD505-2E9C-101B-9397-08002B2CF9AE}" pid="16" name="editor_options">
    <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figLabels">
    <vt:lpwstr>arabic</vt:lpwstr>
  </property>
  <property fmtid="{D5CDD505-2E9C-101B-9397-08002B2CF9AE}" pid="21" name="figPrefix">
    <vt:lpwstr/>
  </property>
  <property fmtid="{D5CDD505-2E9C-101B-9397-08002B2CF9AE}" pid="22" name="figPrefixTemplate">
    <vt:lpwstr>p i</vt:lpwstr>
  </property>
  <property fmtid="{D5CDD505-2E9C-101B-9397-08002B2CF9AE}" pid="23" name="figureTemplate">
    <vt:lpwstr>figureTitle ititleDelim t</vt:lpwstr>
  </property>
  <property fmtid="{D5CDD505-2E9C-101B-9397-08002B2CF9AE}" pid="24" name="figureTitle">
    <vt:lpwstr>Figure</vt:lpwstr>
  </property>
  <property fmtid="{D5CDD505-2E9C-101B-9397-08002B2CF9AE}" pid="25" name="highlights">
    <vt:lpwstr>These are the highlights</vt:lpwstr>
  </property>
  <property fmtid="{D5CDD505-2E9C-101B-9397-08002B2CF9AE}" pid="26" name="lastDelim">
    <vt:lpwstr>, </vt:lpwstr>
  </property>
  <property fmtid="{D5CDD505-2E9C-101B-9397-08002B2CF9AE}" pid="27" name="linkReferences">
    <vt:lpwstr>False</vt:lpwstr>
  </property>
  <property fmtid="{D5CDD505-2E9C-101B-9397-08002B2CF9AE}" pid="28" name="linkcolor">
    <vt:lpwstr>blue</vt:lpwstr>
  </property>
  <property fmtid="{D5CDD505-2E9C-101B-9397-08002B2CF9AE}" pid="29" name="listingTemplate">
    <vt:lpwstr>listingTitle ititleDelim t</vt:lpwstr>
  </property>
  <property fmtid="{D5CDD505-2E9C-101B-9397-08002B2CF9AE}" pid="30" name="listingTitle">
    <vt:lpwstr>Listing</vt:lpwstr>
  </property>
  <property fmtid="{D5CDD505-2E9C-101B-9397-08002B2CF9AE}" pid="31" name="listings">
    <vt:lpwstr>False</vt:lpwstr>
  </property>
  <property fmtid="{D5CDD505-2E9C-101B-9397-08002B2CF9AE}" pid="32" name="lofTitle">
    <vt:lpwstr>List of Figures</vt:lpwstr>
  </property>
  <property fmtid="{D5CDD505-2E9C-101B-9397-08002B2CF9AE}" pid="33" name="lolTitle">
    <vt:lpwstr>List of Listings</vt:lpwstr>
  </property>
  <property fmtid="{D5CDD505-2E9C-101B-9397-08002B2CF9AE}" pid="34" name="lotTitle">
    <vt:lpwstr>List of Tables</vt:lpwstr>
  </property>
  <property fmtid="{D5CDD505-2E9C-101B-9397-08002B2CF9AE}" pid="35" name="lstLabels">
    <vt:lpwstr>arabic</vt:lpwstr>
  </property>
  <property fmtid="{D5CDD505-2E9C-101B-9397-08002B2CF9AE}" pid="36" name="lstPrefix">
    <vt:lpwstr/>
  </property>
  <property fmtid="{D5CDD505-2E9C-101B-9397-08002B2CF9AE}" pid="37" name="lstPrefixTemplate">
    <vt:lpwstr>p i</vt:lpwstr>
  </property>
  <property fmtid="{D5CDD505-2E9C-101B-9397-08002B2CF9AE}" pid="38" name="nameInLink">
    <vt:lpwstr>False</vt:lpwstr>
  </property>
  <property fmtid="{D5CDD505-2E9C-101B-9397-08002B2CF9AE}" pid="39" name="numberSections">
    <vt:lpwstr>False</vt:lpwstr>
  </property>
  <property fmtid="{D5CDD505-2E9C-101B-9397-08002B2CF9AE}" pid="40" name="output">
    <vt:lpwstr/>
  </property>
  <property fmtid="{D5CDD505-2E9C-101B-9397-08002B2CF9AE}" pid="41" name="pairDelim">
    <vt:lpwstr>, </vt:lpwstr>
  </property>
  <property fmtid="{D5CDD505-2E9C-101B-9397-08002B2CF9AE}" pid="42" name="rangeDelim">
    <vt:lpwstr>-</vt:lpwstr>
  </property>
  <property fmtid="{D5CDD505-2E9C-101B-9397-08002B2CF9AE}" pid="43" name="refDelim">
    <vt:lpwstr>, </vt:lpwstr>
  </property>
  <property fmtid="{D5CDD505-2E9C-101B-9397-08002B2CF9AE}" pid="44" name="refIndexTemplate">
    <vt:lpwstr>isuf</vt:lpwstr>
  </property>
  <property fmtid="{D5CDD505-2E9C-101B-9397-08002B2CF9AE}" pid="45" name="secHeaderDelim">
    <vt:lpwstr> </vt:lpwstr>
  </property>
  <property fmtid="{D5CDD505-2E9C-101B-9397-08002B2CF9AE}" pid="46" name="secHeaderTemplate">
    <vt:lpwstr>isecHeaderDelim[n]t</vt:lpwstr>
  </property>
  <property fmtid="{D5CDD505-2E9C-101B-9397-08002B2CF9AE}" pid="47" name="secLabels">
    <vt:lpwstr>arabic</vt:lpwstr>
  </property>
  <property fmtid="{D5CDD505-2E9C-101B-9397-08002B2CF9AE}" pid="48" name="secPrefix">
    <vt:lpwstr/>
  </property>
  <property fmtid="{D5CDD505-2E9C-101B-9397-08002B2CF9AE}" pid="49" name="secPrefixTemplate">
    <vt:lpwstr>p i</vt:lpwstr>
  </property>
  <property fmtid="{D5CDD505-2E9C-101B-9397-08002B2CF9AE}" pid="50" name="sectionsDepth">
    <vt:lpwstr>0</vt:lpwstr>
  </property>
  <property fmtid="{D5CDD505-2E9C-101B-9397-08002B2CF9AE}" pid="51" name="shorttitle">
    <vt:lpwstr>Delayed effects of climate on vital rates</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