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6.png" ContentType="image/png"/>
  <Override PartName="/word/media/rId45.png" ContentType="image/png"/>
  <Override PartName="/word/media/rId43.png" ContentType="image/png"/>
  <Override PartName="/word/media/rId42.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01</w:t>
      </w:r>
      <w:r>
        <w:t xml:space="preserve"> </w:t>
      </w:r>
      <w:r>
        <w:t xml:space="preserve">September,</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standardized precipitation evapotranspiration index (SPEI)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 although the demographic mechanisms responsible for these extinctions are poorly understood</w:t>
      </w:r>
      <w:r>
        <w:t xml:space="preserve"> </w:t>
      </w:r>
      <w:r>
        <w:t xml:space="preserve">(Bruna et al., 2009)</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Climate models predict increases in the areas of the Amazon effected by severe drought and unusual wetness by the year 2100</w:t>
      </w:r>
      <w:r>
        <w:t xml:space="preserve"> </w:t>
      </w:r>
      <w:r>
        <w:t xml:space="preserve">(Duffy et al., 2015a)</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(both drought and extreme wet)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The simultaneous pressures of climate change and habitat fragmentation may also result in worse than additive impacts on demography</w:t>
      </w:r>
      <w:r>
        <w:t xml:space="preserve"> </w:t>
      </w:r>
      <w:r>
        <w:t xml:space="preserve">(Holyoak &amp; Heath, 2016; Oliver et al., 2015)</w:t>
      </w:r>
      <w:r>
        <w:t xml:space="preserve">.</w:t>
      </w:r>
      <w:r>
        <w:t xml:space="preserve"> </w:t>
      </w:r>
      <w:r>
        <w:t xml:space="preserve">For example, if fragments have a reduced capacity to buffer changes in microclimate</w:t>
      </w:r>
      <w:r>
        <w:t xml:space="preserve"> </w:t>
      </w:r>
      <w:r>
        <w:t xml:space="preserve">(Didham &amp; Lawton, 1999; Ewers &amp; Banks-Leite, 2013)</w:t>
      </w:r>
      <w:r>
        <w:t xml:space="preserve"> </w:t>
      </w:r>
      <w:r>
        <w:t xml:space="preserve">or if fragment connectivity is climate dependent</w:t>
      </w:r>
      <w:r>
        <w:t xml:space="preserve"> </w:t>
      </w:r>
      <w:r>
        <w:t xml:space="preserve">(Honnay et al., 2002)</w:t>
      </w:r>
      <w:r>
        <w:t xml:space="preserve">, populations experiencing habitat fragmentation will fare worse under climate change.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4,886 plants in continuous forest and 1,375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(i.e. distance from the ground to the tallest leaf tip), and whether each plant was flowering (height and shoot number are correlated with leaf area, the probability of flowering, and rates of survivorship</w:t>
      </w:r>
      <w:r>
        <w:t xml:space="preserve"> </w:t>
      </w:r>
      <w:r>
        <w:t xml:space="preserve">(Bruna, 2002; Bruna &amp; Kress, 2002)</w:t>
      </w:r>
      <w:r>
        <w:t xml:space="preserve">. In this study, we used the product of shoot number and plant height as our measure of plant size. 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After the initial census year, between 80% and 97% of marked plants were found.</w:t>
      </w:r>
      <w:r>
        <w:t xml:space="preserve"> </w:t>
      </w:r>
      <w:r>
        <w:t xml:space="preserve">Of plants that had missing values for some years, but were found again in a subsequent year, 95% had 2 or fewer years of missing values.</w:t>
      </w:r>
      <w:r>
        <w:t xml:space="preserve"> </w:t>
      </w:r>
      <w:r>
        <w:t xml:space="preserve">Therefore, plants that were not found for three consecutive surveys, and no subsequent survey, were considered to have died in the transition year after their last observation.</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r>
                              <m:t>j</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p>
                      <m:e>
                        <m:r>
                          <m:t>σ</m:t>
                        </m:r>
                      </m:e>
                      <m:sup>
                        <m:r>
                          <m:t>2</m:t>
                        </m:r>
                      </m:sup>
                    </m:sSup>
                  </m:e>
                </m:d>
                <m:r>
                  <m:rPr>
                    <m:sty m:val="p"/>
                  </m:rPr>
                  <m:t>,</m:t>
                </m:r>
                <m:r>
                  <m:t> </m:t>
                </m:r>
                <m:r>
                  <m:rPr>
                    <m:nor/>
                    <m:sty m:val="p"/>
                  </m:rPr>
                  <m:t>for plot j</m:t>
                </m:r>
              </m:e>
            </m:mr>
          </m:m>
          <m:r>
            <m:t>  </m:t>
          </m:r>
          <m:d>
            <m:dPr>
              <m:begChr m:val="("/>
              <m:endChr m:val=")"/>
              <m:grow/>
            </m:dPr>
            <m:e>
              <m:r>
                <m:t>1</m:t>
              </m:r>
            </m:e>
          </m:d>
        </m:oMath>
      </m:oMathPara>
      <w:bookmarkEnd w:id="27"/>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r>
          <m:t>i</m:t>
        </m:r>
      </m:oMath>
      <w:r>
        <w:t xml:space="preserve">th plant observation in the</w:t>
      </w:r>
      <w:r>
        <w:t xml:space="preserve"> </w:t>
      </w:r>
      <m:oMath>
        <m:r>
          <m:t>j</m:t>
        </m:r>
      </m:oMath>
      <w:r>
        <w:t xml:space="preserve">th plot</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 random effect of plant ID was not included in survival models since each plant only dies once.</w:t>
      </w:r>
      <w:r>
        <w:t xml:space="preserve"> </w:t>
      </w:r>
      <w:r>
        <w:t xml:space="preserve">Individual-level random effects were not included due to computational limitations in fitting random intercepts for all of the nearly 5,000 plants in continuous forest plots.</w:t>
      </w:r>
      <w:r>
        <w:t xml:space="preserve"> </w:t>
      </w:r>
      <w:r>
        <w:t xml:space="preserve">Fitting models with a data subset with and without individual-level random effects showed that excluding individual-level random effects reduced model R</w:t>
      </w:r>
      <w:r>
        <w:rPr>
          <w:vertAlign w:val="superscript"/>
        </w:rPr>
        <w:t xml:space="preserve">2</w:t>
      </w:r>
      <w:r>
        <w:t xml:space="preserve">, but did not affect the shape or statistical significance of the smooths.</w:t>
      </w:r>
    </w:p>
    <w:p>
      <w:pPr>
        <w:pStyle w:val="BodyText"/>
      </w:pP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w:t>
      </w:r>
      <w:r>
        <w:t xml:space="preserve"> </w:t>
      </w:r>
      <w:r>
        <w:t xml:space="preserve">We increased</w:t>
      </w:r>
      <w:r>
        <w:t xml:space="preserve"> </w:t>
      </w:r>
      <w:r>
        <w:rPr>
          <w:iCs/>
          <w:i/>
        </w:rPr>
        <w:t xml:space="preserve">k</w:t>
      </w:r>
      <w:r>
        <w:t xml:space="preserve">, the maximum basis dimension, as necessary to be sure it was adequate.</w:t>
      </w:r>
      <w:r>
        <w:t xml:space="preserve"> </w:t>
      </w:r>
      <w:r>
        <w:t xml:space="preserve">Because of penalization, the maximum basis dimension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crossbasis smooth was coded as:</w:t>
      </w:r>
    </w:p>
    <w:p>
      <w:pPr>
        <w:pStyle w:val="SourceCode"/>
      </w:pPr>
      <w:r>
        <w:rPr>
          <w:rStyle w:val="VerbatimChar"/>
        </w:rPr>
        <w:t xml:space="preserve">s(spei_history, L, bs = "cb", xt = list(bs = "cr"))</w:t>
      </w:r>
    </w:p>
    <w:p>
      <w:pPr>
        <w:pStyle w:val="FirstParagraph"/>
      </w:pPr>
      <w:r>
        <w:t xml:space="preserve">Where</w:t>
      </w:r>
      <w:r>
        <w:t xml:space="preserve"> </w:t>
      </w:r>
      <w:r>
        <w:rPr>
          <w:rStyle w:val="VerbatimChar"/>
        </w:rPr>
        <w:t xml:space="preserve">spei_history</w:t>
      </w:r>
      <w:r>
        <w:t xml:space="preserve"> </w:t>
      </w:r>
      <w:r>
        <w:t xml:space="preserve">is a</w:t>
      </w:r>
      <w:r>
        <w:t xml:space="preserve"> </w:t>
      </w:r>
      <m:oMath>
        <m:r>
          <m:t>n</m:t>
        </m:r>
        <m:r>
          <m:rPr>
            <m:sty m:val="p"/>
          </m:rPr>
          <m:t>×</m:t>
        </m:r>
        <m:r>
          <m:t>m</m:t>
        </m:r>
      </m:oMath>
      <w:r>
        <w:t xml:space="preserve"> </w:t>
      </w:r>
      <w:r>
        <w:t xml:space="preserve">matrix with each row (</w:t>
      </w:r>
      <m:oMath>
        <m:r>
          <m:t>n</m:t>
        </m:r>
      </m:oMath>
      <w:r>
        <w:t xml:space="preserve">) containing the climate history of a single plant in a year and</w:t>
      </w:r>
      <w:r>
        <w:t xml:space="preserve"> </w:t>
      </w:r>
      <m:oMath>
        <m:r>
          <m:t>m</m:t>
        </m:r>
        <m:r>
          <m:rPr>
            <m:sty m:val="p"/>
          </m:rPr>
          <m:t>=</m:t>
        </m:r>
        <m:r>
          <m:t>36</m:t>
        </m:r>
      </m:oMath>
      <w:r>
        <w:t xml:space="preserve"> </w:t>
      </w:r>
      <w:r>
        <w:t xml:space="preserve">columns representing the past weather conditions starting at the month of the census and going backwards in time 36 months.</w:t>
      </w:r>
      <w:r>
        <w:t xml:space="preserve"> </w:t>
      </w:r>
      <w:r>
        <w:rPr>
          <w:rStyle w:val="VerbatimChar"/>
        </w:rPr>
        <w:t xml:space="preserve">L</w:t>
      </w:r>
      <w:r>
        <w:t xml:space="preserve"> </w:t>
      </w:r>
      <w:r>
        <w:t xml:space="preserve">is an</w:t>
      </w:r>
      <w:r>
        <w:t xml:space="preserve"> </w:t>
      </w:r>
      <m:oMath>
        <m:r>
          <m:t>n</m:t>
        </m:r>
        <m:r>
          <m:rPr>
            <m:sty m:val="p"/>
          </m:rPr>
          <m:t>×</m:t>
        </m:r>
        <m:r>
          <m:t>m</m:t>
        </m:r>
      </m:oMath>
      <w:r>
        <w:t xml:space="preserve"> </w:t>
      </w:r>
      <w:r>
        <w:t xml:space="preserve">matrix with columns describing the lag structure, i.e. the integers 0 through 36.</w:t>
      </w:r>
      <w:r>
        <w:t xml:space="preserve"> </w:t>
      </w:r>
      <w:r>
        <w:t xml:space="preserve">The spline basis,</w:t>
      </w:r>
      <w:r>
        <w:t xml:space="preserve"> </w:t>
      </w:r>
      <w:r>
        <w:rPr>
          <w:rStyle w:val="VerbatimChar"/>
        </w:rPr>
        <w:t xml:space="preserve">"cb"</w:t>
      </w:r>
      <w:r>
        <w:t xml:space="preserve"> </w:t>
      </w:r>
      <w:r>
        <w:t xml:space="preserve">is provided by the</w:t>
      </w:r>
      <w:r>
        <w:t xml:space="preserve"> </w:t>
      </w:r>
      <w:r>
        <w:rPr>
          <w:rStyle w:val="VerbatimChar"/>
        </w:rPr>
        <w:t xml:space="preserve">dlnm</w:t>
      </w:r>
      <w:r>
        <w:t xml:space="preserve"> </w:t>
      </w:r>
      <w:r>
        <w:t xml:space="preserve">package, and we specified the marginal bases as cubic regression splines with the</w:t>
      </w:r>
      <w:r>
        <w:t xml:space="preserve"> </w:t>
      </w:r>
      <w:r>
        <w:rPr>
          <w:rStyle w:val="VerbatimChar"/>
        </w:rPr>
        <w:t xml:space="preserve">xt</w:t>
      </w:r>
      <w:r>
        <w:t xml:space="preserve"> </w:t>
      </w:r>
      <w:r>
        <w:t xml:space="preserve">argument.</w:t>
      </w:r>
      <w:r>
        <w:t xml:space="preserve"> </w:t>
      </w:r>
      <w:r>
        <w:t xml:space="preserve">For the full code used to fit the models, see</w:t>
      </w:r>
      <w:r>
        <w:t xml:space="preserve"> </w:t>
      </w:r>
      <w:r>
        <w:t xml:space="preserve">.</w:t>
      </w:r>
    </w:p>
    <w:p>
      <w:pPr>
        <w:pStyle w:val="BodyText"/>
      </w:pP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To visualize results, we plotted partial effects plots for the one-dimensional smooth function of log size in the previous year and the two-dimensional smooth function of lagged SPEI (the crossbasis function) for each model.</w:t>
      </w:r>
      <w:r>
        <w:t xml:space="preserve"> </w:t>
      </w:r>
      <w:r>
        <w:t xml:space="preserve">To make these plots more interpretable, we added the model intercept and (when applicable) back-transformed the y-axis to be on the scale of the response (e.g. a probability for survival and flowering).</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c78f691f093e29cd0d878b9f7b813ae6eeba2be"/>
    <w:p>
      <w:pPr>
        <w:pStyle w:val="Heading2"/>
      </w:pPr>
      <w:r>
        <w:t xml:space="preserve">Survival, size,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(93% survival in both continuous forest and forest fragments).</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(i.e. negative growth in Figure</w:t>
      </w:r>
      <w:r>
        <w:t xml:space="preserve"> </w:t>
      </w:r>
      <w:r>
        <w:t xml:space="preserve">1</w:t>
      </w:r>
      <w:r>
        <w:t xml:space="preserve">a).</w:t>
      </w:r>
      <w:r>
        <w:t xml:space="preserve"> </w:t>
      </w:r>
      <w:r>
        <w:t xml:space="preserve">There was no significant difference in survival between continuous forest and 1 ha fragments (Table</w:t>
      </w:r>
      <w:r>
        <w:t xml:space="preserve"> </w:t>
      </w:r>
      <w:r>
        <w:t xml:space="preserve">1</w:t>
      </w:r>
      <w:r>
        <w:t xml:space="preserve">).</w:t>
      </w:r>
      <w:r>
        <w:t xml:space="preserve"> </w:t>
      </w:r>
      <w:r>
        <w:t xml:space="preserve">Although differences in survival probability are small and not statistically significant, these slight differences can be seen to compound over time in the survivorship of plants labeled in the first year of the surveys (Figure</w:t>
      </w:r>
      <w:r>
        <w:t xml:space="preserve"> </w:t>
      </w:r>
      <w:r>
        <w:t xml:space="preserve">2</w:t>
      </w:r>
      <w:r>
        <w:t xml:space="preserve">).</w:t>
      </w:r>
      <w:r>
        <w:t xml:space="preserve"> </w:t>
      </w:r>
      <w:r>
        <w:t xml:space="preserve">Survival in both habitats was significantly affected by size in the previous year (Table</w:t>
      </w:r>
      <w:r>
        <w:t xml:space="preserve"> </w:t>
      </w:r>
      <w:r>
        <w:t xml:space="preserve">2</w:t>
      </w:r>
      <w:r>
        <w:t xml:space="preserve">) with larger plants having much greater survival probabilities (Figure</w:t>
      </w:r>
      <w:r>
        <w:t xml:space="preserve"> </w:t>
      </w:r>
      <w:r>
        <w:t xml:space="preserve">3</w:t>
      </w:r>
      <w:r>
        <w:t xml:space="preserve">b).</w:t>
      </w:r>
      <w:r>
        <w:t xml:space="preserve"> </w:t>
      </w:r>
      <w:r>
        <w:t xml:space="preserve">The survival probability of large plants approached 1 in both habitat types, but the smallest plants had higher survival in 1 ha fragments (although 95% confidence intervals overlap at all sizes).</w:t>
      </w:r>
    </w:p>
    <w:p>
      <w:pPr>
        <w:pStyle w:val="BodyText"/>
      </w:pPr>
      <w:r>
        <w:rPr>
          <w:iCs/>
          <w:i/>
        </w:rPr>
        <w:t xml:space="preserve">Size:</w:t>
      </w:r>
      <w:r>
        <w:t xml:space="preserve"> </w:t>
      </w:r>
      <w:r>
        <w:t xml:space="preserve">Plants in continuous forest had an average of 2.9 shoots (± 1.8 SD) and were on average 39.8 cm tall (± 26.2 SD).</w:t>
      </w:r>
      <w:r>
        <w:t xml:space="preserve"> </w:t>
      </w:r>
      <w:r>
        <w:t xml:space="preserve">Plants in 1-ha fragments had on average 14% fewer shoots (2.5 ± 1.4 SD) and were 10.5% shorter (35.6 cm ± 23.8 SD).</w:t>
      </w:r>
      <w:r>
        <w:t xml:space="preserve"> </w:t>
      </w:r>
      <w:r>
        <w:t xml:space="preserve">Because our proxy for plant size was the product of these two metrics, plants in continuous forest were on average 32% larger than those in forest fragments (144 ± 176 SD vs. 109 ± 139 SD, respectively), with fragments having proportionately fewer large plants (Figure</w:t>
      </w:r>
      <w:r>
        <w:t xml:space="preserve"> </w:t>
      </w:r>
      <w:r>
        <w:t xml:space="preserve">3</w:t>
      </w:r>
      <w:r>
        <w:t xml:space="preserve">d).</w:t>
      </w:r>
      <w:r>
        <w:t xml:space="preserve"> </w:t>
      </w:r>
      <w:r>
        <w:t xml:space="preserve">Plants were significantly larger in continuous forest (Table</w:t>
      </w:r>
      <w:r>
        <w:t xml:space="preserve"> </w:t>
      </w:r>
      <w:r>
        <w:t xml:space="preserve">1</w:t>
      </w:r>
      <w:r>
        <w:t xml:space="preserve">), and the disparity in plant size—which was most pronounced in the initial years of our surveys—diminished over time.</w:t>
      </w:r>
    </w:p>
    <w:p>
      <w:pPr>
        <w:pStyle w:val="BodyText"/>
      </w:pPr>
      <w:r>
        <w:t xml:space="preserve">Mean plant size dropped dramatically in 2003 in both habitat types (negative fold-change in Figure</w:t>
      </w:r>
      <w:r>
        <w:t xml:space="preserve"> </w:t>
      </w:r>
      <w:r>
        <w:t xml:space="preserve">1</w:t>
      </w:r>
      <w:r>
        <w:t xml:space="preserve">a),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(Table</w:t>
      </w:r>
      <w:r>
        <w:t xml:space="preserve"> </w:t>
      </w:r>
      <w:r>
        <w:t xml:space="preserve">2</w:t>
      </w:r>
      <w:r>
        <w:t xml:space="preserve">).</w:t>
      </w:r>
      <w:r>
        <w:t xml:space="preserve"> </w:t>
      </w:r>
      <w:r>
        <w:t xml:space="preserve">Although plants were significantly larger in continuous forest compared to fragments (Table</w:t>
      </w:r>
      <w:r>
        <w:t xml:space="preserve"> </w:t>
      </w:r>
      <w:r>
        <w:t xml:space="preserve">1</w:t>
      </w:r>
      <w:r>
        <w:t xml:space="preserve">), the effect of size in year t on size in year t+1 is nearly identical in the two habitats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The proportion of plants flowering was 31% higher in continuous forest than 1-ha fragments (4.6% vs. 3.5%, respectively).</w:t>
      </w:r>
      <w:r>
        <w:t xml:space="preserve"> </w:t>
      </w:r>
      <w:r>
        <w:t xml:space="preserve">The intercepts for the continuous forest and 1 ha fragment models were significantly different, indicating a main effect of habitat on flowering probability (Table</w:t>
      </w:r>
      <w:r>
        <w:t xml:space="preserve"> </w:t>
      </w:r>
      <w:r>
        <w:t xml:space="preserve">1</w:t>
      </w:r>
      <w:r>
        <w:t xml:space="preserve">).</w:t>
      </w:r>
      <w:r>
        <w:t xml:space="preserve"> </w:t>
      </w:r>
      <w:r>
        <w:t xml:space="preserve">The observed disparity in proportion of flowering plants was largely due to the fact that flowering is also significantly size-dependent (Table</w:t>
      </w:r>
      <w:r>
        <w:t xml:space="preserve"> </w:t>
      </w:r>
      <w:r>
        <w:t xml:space="preserve">2</w:t>
      </w:r>
      <w:r>
        <w:t xml:space="preserve">),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the largest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differences between habitat types coincided with relatively extreme weather conditions.</w:t>
      </w:r>
      <w:r>
        <w:t xml:space="preserve"> </w:t>
      </w:r>
      <w:r>
        <w:t xml:space="preserve">In 2003, during the onset of a severe drought, the percentage of flowering reproductive-sized plants was 28% in continuous forest vs. 17% in 1 ha fragments.</w:t>
      </w:r>
      <w:r>
        <w:t xml:space="preserve"> </w:t>
      </w:r>
      <w:r>
        <w:t xml:space="preserve">In 2006, following a wet spring and winter (SPEI &gt; 1), the trend was reversed when only 14% of reproductive-sized plants flowered in continuous forest and 26% flowered in 1 ha fragments (Figure</w:t>
      </w:r>
      <w:r>
        <w:t xml:space="preserve"> </w:t>
      </w:r>
      <w:r>
        <w:t xml:space="preserve">1</w:t>
      </w:r>
      <w:r>
        <w:t xml:space="preserve">c).</w:t>
      </w:r>
      <w:r>
        <w:t xml:space="preserve"> </w:t>
      </w:r>
      <w:r>
        <w:t xml:space="preserve">It is important to keep in mind that 1 ha fragment plots have a lower density of plants on average and fewer reproductive-sized plants compared to continuous forest plots, so total numbers of flowering plants was always lower in fragments.</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effect on the survival, growth, and flowering of plants in both habitats (Table</w:t>
      </w:r>
      <w:r>
        <w:t xml:space="preserve"> </w:t>
      </w:r>
      <w:r>
        <w:t xml:space="preserve">2</w:t>
      </w:r>
      <w:r>
        <w:t xml:space="preserve">).</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0–16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Additionally, a positive, lagged effect of high SPEI at 32–36 months lag reached statistical significance.</w:t>
      </w:r>
      <w:r>
        <w:t xml:space="preserve"> </w:t>
      </w:r>
      <w:r>
        <w:t xml:space="preserve">There was less of a delayed effect of SPEI on survival in continuous forest with only the preceding 0–4 months and 32–36 months reaching statistical significance (Figure</w:t>
      </w:r>
      <w:r>
        <w:t xml:space="preserve"> </w:t>
      </w:r>
      <w:r>
        <w:t xml:space="preserve">4</w:t>
      </w:r>
      <w:r>
        <w:t xml:space="preserve">a).</w:t>
      </w:r>
      <w:r>
        <w:t xml:space="preserve"> </w:t>
      </w:r>
      <w:r>
        <w:t xml:space="preserve">The short-term effects of SPEI on survival in continuous forest were also unidirectional—the probability of survival was highest in wet conditions and declined, albeit only slightly, with increasingly negative values of SPEI (i.e., as droughts became more severe; Figure</w:t>
      </w:r>
      <w:r>
        <w:t xml:space="preserve"> </w:t>
      </w:r>
      <w:r>
        <w:t xml:space="preserve">4</w:t>
      </w:r>
      <w:r>
        <w:t xml:space="preserve">a).</w:t>
      </w:r>
      <w:r>
        <w:t xml:space="preserve"> </w:t>
      </w:r>
      <w:r>
        <w:t xml:space="preserve">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compared to fragments by up to 0.042.</w:t>
      </w:r>
    </w:p>
    <w:p>
      <w:pPr>
        <w:pStyle w:val="BodyText"/>
      </w:pPr>
      <w:r>
        <w:rPr>
          <w:iCs/>
          <w:i/>
        </w:rPr>
        <w:t xml:space="preserve">Size:</w:t>
      </w:r>
      <w:r>
        <w:t xml:space="preserve"> </w:t>
      </w:r>
      <w:r>
        <w:t xml:space="preserve">The effects of drought history on trends in plant size were generally similar for continuous forest and fragments.</w:t>
      </w:r>
      <w:r>
        <w:t xml:space="preserve"> </w:t>
      </w:r>
      <w:r>
        <w:t xml:space="preserve">Under all conditions, plant size is greater in continuous forest (Figure</w:t>
      </w:r>
      <w:r>
        <w:t xml:space="preserve"> </w:t>
      </w:r>
      <w:r>
        <w:t xml:space="preserve">5</w:t>
      </w:r>
      <w:r>
        <w:t xml:space="preserve">c).</w:t>
      </w:r>
      <w:r>
        <w:t xml:space="preserve"> </w:t>
      </w:r>
      <w:r>
        <w:t xml:space="preserve">Decreasing SPEI at lags of 8–11 months (i.e., the end of the preceding year’s wet season) led to increased growth in both habitats.</w:t>
      </w:r>
      <w:r>
        <w:t xml:space="preserve"> </w:t>
      </w:r>
      <w:r>
        <w:t xml:space="preserve">In continuous forest, but not 1 ha fragments, SPEI at lags of 22–25 months had a significant effect on plant size in the opposite direction, with wet conditions at that lag time resulting in larger predicted sizes.</w:t>
      </w:r>
      <w:r>
        <w:t xml:space="preserve"> </w:t>
      </w:r>
      <w:r>
        <w:t xml:space="preserve">At longer lags of 26–36 months positive effects of drought on plant size are predicted for both continuous forest and 1 ha fragments by our models, although the area that reaches statistical significance is larger for continuous forest.</w:t>
      </w:r>
    </w:p>
    <w:p>
      <w:pPr>
        <w:pStyle w:val="BodyText"/>
      </w:pPr>
      <w:r>
        <w:rPr>
          <w:iCs/>
          <w:i/>
        </w:rPr>
        <w:t xml:space="preserve">Flowering:</w:t>
      </w:r>
      <w:r>
        <w:t xml:space="preserve"> </w:t>
      </w:r>
      <w:r>
        <w:t xml:space="preserve">Overall, the probability of flowering was significantly higher in continuous forest than in 1-ha fragments (Figure</w:t>
      </w:r>
      <w:r>
        <w:t xml:space="preserve"> </w:t>
      </w:r>
      <w:r>
        <w:t xml:space="preserve">6</w:t>
      </w:r>
      <w:r>
        <w:t xml:space="preserve">, Table</w:t>
      </w:r>
      <w:r>
        <w:t xml:space="preserve"> </w:t>
      </w:r>
      <w:r>
        <w:t xml:space="preserve">1</w:t>
      </w:r>
      <w:r>
        <w:t xml:space="preserve">).</w:t>
      </w:r>
      <w:r>
        <w:t xml:space="preserve"> </w:t>
      </w:r>
      <w:r>
        <w:t xml:space="preserve">Recent and past SPEI had less of an effect on flowering probability in 1-ha fragments as indicated by the narrower range of the evaluated smooth (Figure</w:t>
      </w:r>
      <w:r>
        <w:t xml:space="preserve"> </w:t>
      </w:r>
      <w:r>
        <w:t xml:space="preserve">6</w:t>
      </w:r>
      <w:r>
        <w:t xml:space="preserve">b).</w:t>
      </w:r>
      <w:r>
        <w:t xml:space="preserve"> </w:t>
      </w:r>
      <w:r>
        <w:t xml:space="preserve">This led to some important inter-habitat differences in plant responses to prior droughts.</w:t>
      </w:r>
      <w:r>
        <w:t xml:space="preserve"> </w:t>
      </w:r>
      <w:r>
        <w:t xml:space="preserve">In continuous forests, recent drought (i.e., at lag = 0–2 with SPEI &lt; -1) and droughts two dry seasons prior (lags 15–20) increased the probability of flowering.</w:t>
      </w:r>
      <w:r>
        <w:t xml:space="preserve"> </w:t>
      </w:r>
      <w:r>
        <w:t xml:space="preserve">The shape of the crossbasis smooth for 1 ha fragments suggested that moderate drought (-1.5 &lt;SPEI&lt; -1) in the previous 0–18 months and at lags of 28–36 months significantly increased flowering probability slightly (the highest probability estimated is 0.004; Figure</w:t>
      </w:r>
      <w:r>
        <w:t xml:space="preserve"> </w:t>
      </w:r>
      <w:r>
        <w:t xml:space="preserve">6</w:t>
      </w:r>
      <w:r>
        <w:t xml:space="preserve">b).</w:t>
      </w:r>
      <w:r>
        <w:t xml:space="preserve"> </w:t>
      </w:r>
      <w:r>
        <w:t xml:space="preserve">The effects of drought on flowering probability appeared stronger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significantly more likely to be larger and flower again.</w:t>
      </w:r>
      <w:r>
        <w:t xml:space="preserve"> </w:t>
      </w:r>
      <w:r>
        <w:t xml:space="preserve">Finally, with the exception of the model for survival in 1-ha fragments, the random effect of plot was significant, indicating that vital rates varied among plots (Table</w:t>
      </w:r>
      <w:r>
        <w:t xml:space="preserve"> </w:t>
      </w:r>
      <w:r>
        <w:t xml:space="preserve">2</w:t>
      </w:r>
      <w:r>
        <w:t xml:space="preserve">).</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different magnitudes, directions, and lag times of climate effects in fragments and continuous forests.</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may be important in this system in a way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range of the estimated response to SPEI for survival and growth was greater in fragments compared with continuous forest (Figures</w:t>
      </w:r>
      <w:r>
        <w:t xml:space="preserve"> </w:t>
      </w:r>
      <w:r>
        <w:t xml:space="preserve">4</w:t>
      </w:r>
      <w:r>
        <w:t xml:space="preserve">,</w:t>
      </w:r>
      <w:r>
        <w:t xml:space="preserve"> </w:t>
      </w:r>
      <w:r>
        <w:t xml:space="preserve">5</w:t>
      </w:r>
      <w:r>
        <w:t xml:space="preserve">). This suggests that extremes in SPEI may be more detrimental in forest fragments compared with continuous forest.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the observed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Wolkovich, Cook, Nytch, Regetz, Zimmerman, &amp; Wright,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Ogle et al., 2015; Teller et al., 2016; Tenhumberg et al., 2018)</w:t>
      </w:r>
      <w:r>
        <w:t xml:space="preserve">.</w:t>
      </w:r>
      <w:r>
        <w:t xml:space="preserve"> </w:t>
      </w:r>
      <w:r>
        <w:t xml:space="preserve">Our extension of this approach allows for modeling of non-linear responses to the environment in addition to an unbiased way of identifying these delayed effects without overfitting.</w:t>
      </w:r>
      <w:r>
        <w:t xml:space="preserve"> </w:t>
      </w:r>
      <w:r>
        <w:t xml:space="preserve">Our results are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suggest that they may,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forest fragments while extreme wet conditions significantly increased survival in continuous forest.</w:t>
      </w:r>
      <w:r>
        <w:t xml:space="preserve"> </w:t>
      </w:r>
      <w:r>
        <w:t xml:space="preserve">Similarly, the marginal effects of SPEI on plant size were greater in fragments, suggesting a more pronounced effect of extreme climates in fragments.</w:t>
      </w:r>
      <w:r>
        <w:t xml:space="preserve"> </w:t>
      </w:r>
      <w:r>
        <w:t xml:space="preserve">In contrast, variation in SPEI corresponded to a greater range of flowering probabilities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Interestingly, we found significant detrimental effects of unusually wet conditions at some lag times for all vital rates except survival in continuous forest and flowering probability in 1 ha fragments.</w:t>
      </w:r>
      <w:r>
        <w:t xml:space="preserve"> </w:t>
      </w:r>
      <w:r>
        <w:t xml:space="preserve">Although the literature focuses primarily on the effects of droughts in the tropics, some research shows that unusually wet conditions can also be detrimental to tropical plants</w:t>
      </w:r>
      <w:r>
        <w:t xml:space="preserve"> </w:t>
      </w:r>
      <w:r>
        <w:t xml:space="preserve">(Esteban et al., 2021)</w:t>
      </w:r>
      <w:r>
        <w:t xml:space="preserve">.</w:t>
      </w:r>
      <w:r>
        <w:t xml:space="preserve"> </w:t>
      </w:r>
      <w:r>
        <w:t xml:space="preserve">Wet conditions could be associated with increased cloud cover which could reduce photosynthetic activity and decrease growth, or with wind storms which could increase tree- and branch-fall—a source of mortality for understory plants.</w:t>
      </w:r>
      <w:r>
        <w:t xml:space="preserve"> </w:t>
      </w:r>
      <w:r>
        <w:t xml:space="preserve">Waterlogged soils can also decrease growth and increase mortality</w:t>
      </w:r>
      <w:r>
        <w:t xml:space="preserve"> </w:t>
      </w:r>
      <w:r>
        <w:t xml:space="preserve">(Parent et al., 2008)</w:t>
      </w:r>
      <w:r>
        <w:t xml:space="preserve">.</w:t>
      </w:r>
      <w:r>
        <w:t xml:space="preserve"> </w:t>
      </w:r>
      <w:r>
        <w:t xml:space="preserve">Finally, cool temperatures associated with unusually wet conditions may decrease flowering</w:t>
      </w:r>
      <w:r>
        <w:t xml:space="preserve"> </w:t>
      </w:r>
      <w:r>
        <w:t xml:space="preserve">(Pau, Wolkovich, Cook, Nytch, Regetz, Zimmerman, &amp; Joseph Wright, 2013)</w:t>
      </w:r>
      <w:r>
        <w:t xml:space="preserve">.</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to expand, leads to the aborted production of flowering shoots.</w:t>
      </w:r>
      <w:r>
        <w:t xml:space="preserve"> </w:t>
      </w:r>
      <w:r>
        <w:t xml:space="preserve">Our results showed delayed increases in flowering probability after drought.</w:t>
      </w:r>
      <w:r>
        <w:t xml:space="preserve"> </w:t>
      </w:r>
      <w:r>
        <w:t xml:space="preserve">Drought conditions could be favorable for</w:t>
      </w:r>
      <w:r>
        <w:t xml:space="preserve"> </w:t>
      </w:r>
      <w:r>
        <w:rPr>
          <w:iCs/>
          <w:i/>
        </w:rPr>
        <w:t xml:space="preserve">H. accuminata</w:t>
      </w:r>
      <w:r>
        <w:t xml:space="preserve"> </w:t>
      </w:r>
      <w:r>
        <w:t xml:space="preserve">flowering due to increased temperatures or decreased cloudiness associated with droughts</w:t>
      </w:r>
      <w:r>
        <w:t xml:space="preserve">(Pau, Wolkovich, Cook, Nytch, Regetz, Zimmerman, &amp; Joseph Wright, 2013)</w:t>
      </w:r>
      <w:r>
        <w:t xml:space="preserve">, and the effects could be delayed due to the development time of inflorescences.</w:t>
      </w:r>
      <w:r>
        <w:t xml:space="preserve"> </w:t>
      </w:r>
      <w:r>
        <w:t xml:space="preserve">A better understanding of the developmental effects of climate on</w:t>
      </w:r>
      <w:r>
        <w:t xml:space="preserve"> </w:t>
      </w:r>
      <w:r>
        <w:rPr>
          <w:iCs/>
          <w:i/>
        </w:rPr>
        <w:t xml:space="preserve">Heliconia</w:t>
      </w:r>
      <w:r>
        <w:t xml:space="preserve"> </w:t>
      </w:r>
      <w:r>
        <w:t xml:space="preserve">is needed to determine if this is the best explanation for lagged effects of drought on flowering.</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 and investing in rhizomes, plants could be generating proportionately more buds with which to regenerate when conditions improve.</w:t>
      </w:r>
      <w:r>
        <w:t xml:space="preserve"> </w:t>
      </w:r>
      <w:r>
        <w:t xml:space="preserve">This is consistent with the results of prior experiments in which</w:t>
      </w:r>
      <w:r>
        <w:t xml:space="preserve"> </w:t>
      </w:r>
      <w:r>
        <w:rPr>
          <w:iCs/>
          <w:i/>
        </w:rPr>
        <w:t xml:space="preserve">H. acuminata</w:t>
      </w:r>
      <w:r>
        <w:t xml:space="preserve"> </w:t>
      </w:r>
      <w:r>
        <w:t xml:space="preserve">plants transplanted into hotter, drier fragments lost and then recovered far more leaf area than control plants</w:t>
      </w:r>
      <w:r>
        <w:t xml:space="preserve">(Bruna et al., 2002)</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it is important to clarify the distinction between</w:t>
      </w:r>
      <w:r>
        <w:t xml:space="preserve"> </w:t>
      </w:r>
      <w:r>
        <w:t xml:space="preserve">“</w:t>
      </w:r>
      <w:r>
        <w:t xml:space="preserve">physiological delays</w:t>
      </w:r>
      <w:r>
        <w:t xml:space="preserve">”</w:t>
      </w:r>
      <w:r>
        <w:t xml:space="preserve"> </w:t>
      </w:r>
      <w:r>
        <w:t xml:space="preserve">and</w:t>
      </w:r>
      <w:r>
        <w:t xml:space="preserve"> </w:t>
      </w:r>
      <w:r>
        <w:t xml:space="preserve">“</w:t>
      </w:r>
      <w:r>
        <w:t xml:space="preserve">observational delays.</w:t>
      </w:r>
      <w:r>
        <w:t xml:space="preserve">”</w:t>
      </w:r>
      <w:r>
        <w:t xml:space="preserve"> </w:t>
      </w:r>
      <w:r>
        <w:t xml:space="preserve">For example, a Fall drought could reduce cold tolerance and therefore overwinter survival.</w:t>
      </w:r>
      <w:r>
        <w:t xml:space="preserve"> </w:t>
      </w:r>
      <w:r>
        <w:t xml:space="preserve">Alternatively the drought could kill plants immediately.</w:t>
      </w:r>
      <w:r>
        <w:t xml:space="preserve"> </w:t>
      </w:r>
      <w:r>
        <w:t xml:space="preserve">In both cases, if mortality is recorded in the Spring, both would appear as a delayed effect of the drought, but only the first case is a truly delayed physiological response to drought, the apparent delayed response in the second case is due to the timing of the response in relation to the census date.</w:t>
      </w:r>
      <w:r>
        <w:t xml:space="preserve"> </w:t>
      </w:r>
      <w:r>
        <w:t xml:space="preserve">In our case, this potential explanation of</w:t>
      </w:r>
      <w:r>
        <w:t xml:space="preserve"> </w:t>
      </w:r>
      <w:r>
        <w:t xml:space="preserve">“</w:t>
      </w:r>
      <w:r>
        <w:t xml:space="preserve">observational delays</w:t>
      </w:r>
      <w:r>
        <w:t xml:space="preserve">”</w:t>
      </w:r>
      <w:r>
        <w:t xml:space="preserve"> </w:t>
      </w:r>
      <w:r>
        <w:t xml:space="preserve">applies only to plant size and survival, as the flowering season coincided with the yearly census.</w:t>
      </w:r>
      <w:r>
        <w:t xml:space="preserve"> </w:t>
      </w:r>
      <w:r>
        <w:t xml:space="preserve">It also only applies to lags of up to 12 months since mortality, size, and flowering are recorded yearly.</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For some demographic models and follow-up experiments, knowing the precise timing of mortality might be critical; for others less so.</w:t>
      </w:r>
      <w:r>
        <w:t xml:space="preserve"> </w:t>
      </w:r>
      <w:r>
        <w:t xml:space="preserve">To disentangle possible mechanisms for observed delayed effects, it may be necessary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2015b)</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w:t>
      </w:r>
      <w:r>
        <w:rPr>
          <w:iCs/>
          <w:i/>
        </w:rPr>
        <w:t xml:space="preserve">sensu</w:t>
      </w:r>
      <w:r>
        <w:t xml:space="preserve"> </w:t>
      </w:r>
      <w:r>
        <w:t xml:space="preserve">Aguirre et al., 2021; 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is rarely measured at the same time scale (e.g. monthly) as climate drivers.</w:t>
      </w:r>
    </w:p>
    <w:p>
      <w:pPr>
        <w:pStyle w:val="BodyText"/>
      </w:pPr>
      <w:r>
        <w:t xml:space="preserve">Recent research, including our own presented here, shows that lagged effects of climate drivers on demography may be the norm</w:t>
      </w:r>
      <w:r>
        <w:t xml:space="preserve"> </w:t>
      </w:r>
      <w:r>
        <w:t xml:space="preserve">(Evers et al., 2021)</w:t>
      </w:r>
      <w:r>
        <w:t xml:space="preserve">.</w:t>
      </w:r>
      <w:r>
        <w:t xml:space="preserve"> </w:t>
      </w:r>
      <w:r>
        <w:t xml:space="preserve">As such, we suggest that all demographers investigate the possibility of lagged environmental effects, ideally using methods that do not require an</w:t>
      </w:r>
      <w:r>
        <w:t xml:space="preserve"> </w:t>
      </w:r>
      <w:r>
        <w:rPr>
          <w:iCs/>
          <w:i/>
        </w:rPr>
        <w:t xml:space="preserve">a priori</w:t>
      </w:r>
      <w:r>
        <w:t xml:space="preserve"> </w:t>
      </w:r>
      <w:r>
        <w:t xml:space="preserve">choice of lag times such as DLNMs, automated algorithms for choosing critical weather windows</w:t>
      </w:r>
      <w:r>
        <w:t xml:space="preserve">(van de Pol et al., 2016)</w:t>
      </w:r>
      <w:r>
        <w:t xml:space="preserve">, or Bayesian methods that incorporate</w:t>
      </w:r>
      <w:r>
        <w:t xml:space="preserve"> </w:t>
      </w:r>
      <w:r>
        <w:t xml:space="preserve">“</w:t>
      </w:r>
      <w:r>
        <w:t xml:space="preserve">ecological memory</w:t>
      </w:r>
      <w:r>
        <w:t xml:space="preserve">”</w:t>
      </w:r>
      <w:r>
        <w:t xml:space="preserve"> </w:t>
      </w:r>
      <w:r>
        <w:t xml:space="preserve">(Ogle et al., 2015)</w:t>
      </w:r>
      <w:r>
        <w:t xml:space="preserve">.</w:t>
      </w:r>
    </w:p>
    <w:p>
      <w:pPr>
        <w:pStyle w:val="BodyText"/>
      </w:pPr>
      <w:r>
        <w:t xml:space="preserve">Finally, any analytical approach for assessing lagged effects on demography requires long-term data and/or data collected from many sites with independent weather (but similar climate and site conditions)</w:t>
      </w:r>
      <w:r>
        <w:t xml:space="preserve"> </w:t>
      </w:r>
      <w:r>
        <w:t xml:space="preserve">(Evers et al., 2021; Tenhumberg et al., 2018)</w:t>
      </w:r>
      <w:r>
        <w:t xml:space="preserve">.</w:t>
      </w:r>
      <w:r>
        <w:t xml:space="preserve"> </w:t>
      </w:r>
      <w:r>
        <w:t xml:space="preserve">Teller et al. (2016)</w:t>
      </w:r>
      <w:r>
        <w:t xml:space="preserve"> </w:t>
      </w:r>
      <w:r>
        <w:t xml:space="preserve">used a simulation study to show that detecting lagged effects required 20–25 years of data, although this depended on effect size and the range of climate extremes in the data.</w:t>
      </w:r>
      <w:r>
        <w:t xml:space="preserve"> </w:t>
      </w:r>
      <w:r>
        <w:t xml:space="preserve">Compagnoni et al. (2021)</w:t>
      </w:r>
      <w:r>
        <w:t xml:space="preserve"> </w:t>
      </w:r>
      <w:r>
        <w:t xml:space="preserve">showed that spatial replication can alleviate this requirement, and in fact in our study we were able to detects significant lagged effects with only 10 years of data, but multiple plots experiencing slightly different weather. 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Andrew Mercadante, Ellie McDaniel and 3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r>
        <w:t xml:space="preserve"> </w:t>
      </w:r>
      <w:r>
        <w:t xml:space="preserve">The authors delcare no conflicts of interest.</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p>
      <w:r>
        <w:br w:type="page"/>
      </w:r>
    </w:p>
    <w:bookmarkEnd w:id="39"/>
    <w:bookmarkStart w:id="40" w:name="tables"/>
    <w:p>
      <w:pPr>
        <w:pStyle w:val="Heading1"/>
      </w:pPr>
      <w:r>
        <w:t xml:space="preserve">Tables</w:t>
      </w:r>
    </w:p>
    <w:p>
      <w:pPr>
        <w:pStyle w:val="TableCaption"/>
      </w:pPr>
      <w:r>
        <w:t xml:space="preserve">Table 1: Model intercepts and their 84% confidence intervals. Non-overlapping confidence intervals are bolded and can be interpreted as a significant difference in the vital rate between continuous forest and 1 ha fragments.</w:t>
      </w:r>
    </w:p>
    <w:tbl>
      <w:tblPr>
        <w:tblStyle w:val="Table"/>
        <w:tblW w:type="pct" w:w="3472"/>
        <w:tblLook w:firstRow="1" w:lastRow="0" w:firstColumn="0" w:lastColumn="0" w:noHBand="0" w:noVBand="0" w:val="0020"/>
        <w:tblCaption w:val="Table 1: Model intercepts and their 84% confidence intervals. Non-overlapping confidence intervals are bolded and can be interpreted as a significant difference in the vital rate between continuous forest and 1 ha fragments."/>
      </w:tblPr>
      <w:tblGrid>
        <w:gridCol w:w="1430"/>
        <w:gridCol w:w="1100"/>
        <w:gridCol w:w="2970"/>
      </w:tblGrid>
      <w:tr>
        <w:tc>
          <w:p>
            <w:pPr>
              <w:pStyle w:val="Compact"/>
              <w:jc w:val="left"/>
            </w:pPr>
            <w:r>
              <w:t xml:space="preserve">vital rate</w:t>
            </w:r>
          </w:p>
        </w:tc>
        <w:tc>
          <w:p>
            <w:pPr>
              <w:pStyle w:val="Compact"/>
              <w:jc w:val="left"/>
            </w:pPr>
            <w:r>
              <w:t xml:space="preserve">habitat</w:t>
            </w:r>
          </w:p>
        </w:tc>
        <w:tc>
          <w:p>
            <w:pPr>
              <w:pStyle w:val="Compact"/>
              <w:jc w:val="right"/>
            </w:pPr>
            <w:r>
              <w:t xml:space="preserve">intercept</w:t>
            </w:r>
          </w:p>
        </w:tc>
      </w:tr>
      <w:tr>
        <w:tc>
          <w:p>
            <w:pPr>
              <w:pStyle w:val="Compact"/>
              <w:jc w:val="left"/>
            </w:pPr>
            <w:r>
              <w:t xml:space="preserve">survival</w:t>
            </w:r>
          </w:p>
        </w:tc>
        <w:tc>
          <w:p>
            <w:pPr>
              <w:pStyle w:val="Compact"/>
              <w:jc w:val="left"/>
            </w:pPr>
            <w:r>
              <w:t xml:space="preserve">CF</w:t>
            </w:r>
          </w:p>
        </w:tc>
        <w:tc>
          <w:p>
            <w:pPr>
              <w:pStyle w:val="Compact"/>
              <w:jc w:val="right"/>
            </w:pPr>
            <w:r>
              <w:t xml:space="preserve">0.97 [0.964, 0.975]</w:t>
            </w:r>
          </w:p>
        </w:tc>
      </w:tr>
      <w:tr>
        <w:tc>
          <w:p/>
        </w:tc>
        <w:tc>
          <w:p>
            <w:pPr>
              <w:pStyle w:val="Compact"/>
              <w:jc w:val="left"/>
            </w:pPr>
            <w:r>
              <w:t xml:space="preserve">1 ha</w:t>
            </w:r>
          </w:p>
        </w:tc>
        <w:tc>
          <w:p>
            <w:pPr>
              <w:pStyle w:val="Compact"/>
              <w:jc w:val="right"/>
            </w:pPr>
            <w:r>
              <w:t xml:space="preserve">0.962 [0.957, 0.966]</w:t>
            </w:r>
          </w:p>
        </w:tc>
      </w:tr>
      <w:tr>
        <w:tc>
          <w:p>
            <w:pPr>
              <w:pStyle w:val="Compact"/>
              <w:jc w:val="left"/>
            </w:pPr>
            <w:r>
              <w:t xml:space="preserve">size</w:t>
            </w:r>
          </w:p>
        </w:tc>
        <w:tc>
          <w:p>
            <w:pPr>
              <w:pStyle w:val="Compact"/>
              <w:jc w:val="left"/>
            </w:pPr>
            <w:r>
              <w:t xml:space="preserve">CF</w:t>
            </w:r>
          </w:p>
        </w:tc>
        <w:tc>
          <w:p>
            <w:pPr>
              <w:pStyle w:val="Compact"/>
              <w:jc w:val="right"/>
            </w:pPr>
            <w:r>
              <w:rPr>
                <w:bCs/>
                <w:b/>
              </w:rPr>
              <w:t xml:space="preserve">4.36 [4.313, 4.408]</w:t>
            </w:r>
          </w:p>
        </w:tc>
      </w:tr>
      <w:tr>
        <w:tc>
          <w:p/>
        </w:tc>
        <w:tc>
          <w:p>
            <w:pPr>
              <w:pStyle w:val="Compact"/>
              <w:jc w:val="left"/>
            </w:pPr>
            <w:r>
              <w:t xml:space="preserve">1 ha</w:t>
            </w:r>
          </w:p>
        </w:tc>
        <w:tc>
          <w:p>
            <w:pPr>
              <w:pStyle w:val="Compact"/>
              <w:jc w:val="right"/>
            </w:pPr>
            <w:r>
              <w:rPr>
                <w:bCs/>
                <w:b/>
              </w:rPr>
              <w:t xml:space="preserve">4.18 [4.062, 4.297]</w:t>
            </w:r>
          </w:p>
        </w:tc>
      </w:tr>
      <w:tr>
        <w:tc>
          <w:p>
            <w:pPr>
              <w:pStyle w:val="Compact"/>
              <w:jc w:val="left"/>
            </w:pPr>
            <w:r>
              <w:t xml:space="preserve">flowering</w:t>
            </w:r>
          </w:p>
        </w:tc>
        <w:tc>
          <w:p>
            <w:pPr>
              <w:pStyle w:val="Compact"/>
              <w:jc w:val="left"/>
            </w:pPr>
            <w:r>
              <w:t xml:space="preserve">CF</w:t>
            </w:r>
          </w:p>
        </w:tc>
        <w:tc>
          <w:p>
            <w:pPr>
              <w:pStyle w:val="Compact"/>
              <w:jc w:val="right"/>
            </w:pPr>
            <w:r>
              <w:rPr>
                <w:bCs/>
                <w:b/>
              </w:rPr>
              <w:t xml:space="preserve">0.006 [0.005, 0.009]</w:t>
            </w:r>
          </w:p>
        </w:tc>
      </w:tr>
      <w:tr>
        <w:tc>
          <w:p/>
        </w:tc>
        <w:tc>
          <w:p>
            <w:pPr>
              <w:pStyle w:val="Compact"/>
              <w:jc w:val="left"/>
            </w:pPr>
            <w:r>
              <w:t xml:space="preserve">1 ha</w:t>
            </w:r>
          </w:p>
        </w:tc>
        <w:tc>
          <w:p>
            <w:pPr>
              <w:pStyle w:val="Compact"/>
              <w:jc w:val="right"/>
            </w:pPr>
            <w:r>
              <w:rPr>
                <w:bCs/>
                <w:b/>
              </w:rPr>
              <w:t xml:space="preserve">0.002 [0.001, 0.004]</w:t>
            </w:r>
          </w:p>
        </w:tc>
      </w:tr>
    </w:tbl>
    <w:p>
      <w:pPr>
        <w:pStyle w:val="BodyText"/>
      </w:pPr>
    </w:p>
    <w:p>
      <w:pPr>
        <w:pStyle w:val="TableCaption"/>
      </w:pPr>
      <w:r>
        <w:t xml:space="preserve">Table 2: Marginal hypothesis tests for models of survival probability, size, and flowering probability of</w:t>
      </w:r>
      <w:r>
        <w:t xml:space="preserve"> </w:t>
      </w:r>
      <w:r>
        <w:rPr>
          <w:iCs/>
          <w:i/>
        </w:rPr>
        <w:t xml:space="preserve">H. acuminata</w:t>
      </w:r>
      <w:r>
        <w:t xml:space="preserve"> </w:t>
      </w:r>
      <w:r>
        <w:t xml:space="preserve">in continuous forest and 1 ha fragment plots. The adjusted R</w:t>
      </w:r>
      <w:r>
        <w:rPr>
          <w:vertAlign w:val="superscript"/>
        </w:rPr>
        <w:t xml:space="preserve">2</w:t>
      </w:r>
      <w:r>
        <w:t xml:space="preserve"> </w:t>
      </w:r>
      <w:r>
        <w:t xml:space="preserve">is reported as a measure of model fit. The model terms included the parametric fixed effect factor of whether plants flowered the previous year (</w:t>
      </w:r>
      <w:r>
        <w:t xml:space="preserve">“</w:t>
      </w:r>
      <w:r>
        <w:t xml:space="preserve">flowering</w:t>
      </w:r>
      <w:r>
        <w:rPr>
          <w:vertAlign w:val="subscript"/>
        </w:rPr>
        <w:t xml:space="preserve">t</w:t>
      </w:r>
      <w:r>
        <w:t xml:space="preserve">”</w:t>
      </w:r>
      <w:r>
        <w:t xml:space="preserve">), the smoothed fixed effect of plant size (</w:t>
      </w:r>
      <w:r>
        <w:t xml:space="preserve">“</w:t>
      </w:r>
      <w:r>
        <w:t xml:space="preserve">s(log(size</w:t>
      </w:r>
      <w:r>
        <w:rPr>
          <w:vertAlign w:val="subscript"/>
        </w:rPr>
        <w:t xml:space="preserve">t</w:t>
      </w:r>
      <w:r>
        <w:t xml:space="preserve">))</w:t>
      </w:r>
      <w:r>
        <w:t xml:space="preserve">”</w:t>
      </w:r>
      <w:r>
        <w:t xml:space="preserve">), the crossbasis smooth of lagged SPEI (</w:t>
      </w:r>
      <w:r>
        <w:t xml:space="preserve">“</w:t>
      </w:r>
      <w:r>
        <w:t xml:space="preserve">s(SPEI, lag)</w:t>
      </w:r>
      <w:r>
        <w:t xml:space="preserve">”</w:t>
      </w:r>
      <w:r>
        <w:t xml:space="preserve">), and a random effect of plot ID, (</w:t>
      </w:r>
      <w:r>
        <w:t xml:space="preserve">“</w:t>
      </w:r>
      <w:r>
        <w:t xml:space="preserve">s(plot)</w:t>
      </w:r>
      <w:r>
        <w:t xml:space="preserve">”</w:t>
      </w:r>
      <w:r>
        <w:t xml:space="preserve">). Degrees of freedom are reported for the parametric term, and estimated degrees of freedom (edf) are reproted for smooths. Larger values for edf indicate more complex smooths and when edf is zero the term is effectively dropped from the model. The test statistic reported is</w:t>
      </w:r>
      <w:r>
        <w:t xml:space="preserve"> </w:t>
      </w:r>
      <m:oMath>
        <m:sSup>
          <m:e>
            <m:r>
              <m:t>χ</m:t>
            </m:r>
          </m:e>
          <m:sup>
            <m:r>
              <m:t>2</m:t>
            </m:r>
          </m:sup>
        </m:sSup>
      </m:oMath>
      <w:r>
        <w:t xml:space="preserve"> </w:t>
      </w:r>
      <w:r>
        <w:t xml:space="preserve">for survival and flowering and</w:t>
      </w:r>
      <w:r>
        <w:t xml:space="preserve"> </w:t>
      </w:r>
      <m:oMath>
        <m:r>
          <m:t>F</m:t>
        </m:r>
      </m:oMath>
      <w:r>
        <w:t xml:space="preserve"> </w:t>
      </w:r>
      <w:r>
        <w:t xml:space="preserve">for log(size</w:t>
      </w:r>
      <w:r>
        <w:rPr>
          <w:vertAlign w:val="subscript"/>
        </w:rPr>
        <w:t xml:space="preserve">t+1</w:t>
      </w:r>
      <w:r>
        <w:t xml:space="preserve">).</w:t>
      </w:r>
    </w:p>
    <w:tbl>
      <w:tblPr>
        <w:tblStyle w:val="Table"/>
        <w:tblW w:type="pct" w:w="5000"/>
        <w:tblLook w:firstRow="1" w:lastRow="0" w:firstColumn="0" w:lastColumn="0" w:noHBand="0" w:noVBand="0" w:val="0020"/>
        <w:tblCaption w:val="Table 2: Marginal hypothesis tests for models of survival probability, size, and flowering probability of H. acuminata in continuous forest and 1 ha fragment plots. The adjusted R2 is reported as a measure of model fit. The model terms included the parametric fixed effect factor of whether plants flowered the previous year (“floweringt”), the smoothed fixed effect of plant size (“s(log(sizet))”), the crossbasis smooth of lagged SPEI (“s(SPEI, lag)”), and a random effect of plot ID, (“s(plot)”). Degrees of freedom are reported for the parametric term, and estimated degrees of freedom (edf) are reproted for smooths. Larger values for edf indicate more complex smooths and when edf is zero the term is effectively dropped from the model. The test statistic reported is \chi^2 for survival and flowering and F for log(sizet+1)."/>
      </w:tblPr>
      <w:tblGrid>
        <w:gridCol w:w="1547"/>
        <w:gridCol w:w="910"/>
        <w:gridCol w:w="637"/>
        <w:gridCol w:w="1638"/>
        <w:gridCol w:w="728"/>
        <w:gridCol w:w="1547"/>
        <w:gridCol w:w="910"/>
      </w:tblGrid>
      <w:tr>
        <w:tc>
          <w:p>
            <w:pPr>
              <w:pStyle w:val="Compact"/>
              <w:jc w:val="left"/>
            </w:pPr>
            <w:r>
              <w:t xml:space="preserve">vital rate</w:t>
            </w:r>
          </w:p>
        </w:tc>
        <w:tc>
          <w:p>
            <w:pPr>
              <w:pStyle w:val="Compact"/>
              <w:jc w:val="left"/>
            </w:pPr>
            <w:r>
              <w:t xml:space="preserve">habitat</w:t>
            </w:r>
          </w:p>
        </w:tc>
        <w:tc>
          <w:p>
            <w:pPr>
              <w:pStyle w:val="Compact"/>
              <w:jc w:val="right"/>
            </w:pPr>
            <w:r>
              <w:t xml:space="preserve">R</w:t>
            </w:r>
            <w:r>
              <w:rPr>
                <w:vertAlign w:val="superscript"/>
              </w:rPr>
              <w:t xml:space="preserve">2</w:t>
            </w:r>
          </w:p>
        </w:tc>
        <w:tc>
          <w:p>
            <w:pPr>
              <w:pStyle w:val="Compact"/>
              <w:jc w:val="left"/>
            </w:pPr>
            <w:r>
              <w:t xml:space="preserve">term</w:t>
            </w:r>
          </w:p>
        </w:tc>
        <w:tc>
          <w:p>
            <w:pPr>
              <w:pStyle w:val="Compact"/>
              <w:jc w:val="right"/>
            </w:pPr>
            <w:r>
              <w:t xml:space="preserve">(e)df</w:t>
            </w:r>
          </w:p>
        </w:tc>
        <w:tc>
          <w:p>
            <w:pPr>
              <w:pStyle w:val="Compact"/>
              <w:jc w:val="right"/>
            </w:pPr>
            <w:r>
              <w:t xml:space="preserve">test statistic</w:t>
            </w:r>
          </w:p>
        </w:tc>
        <w:tc>
          <w:p>
            <w:pPr>
              <w:pStyle w:val="Compact"/>
              <w:jc w:val="right"/>
            </w:pPr>
            <w:r>
              <w:t xml:space="preserve">p-value</w:t>
            </w:r>
          </w:p>
        </w:tc>
      </w:tr>
      <w:tr>
        <w:tc>
          <w:p>
            <w:pPr>
              <w:pStyle w:val="Compact"/>
              <w:jc w:val="left"/>
            </w:pPr>
            <w:r>
              <w:t xml:space="preserve">survival</w:t>
            </w:r>
          </w:p>
        </w:tc>
        <w:tc>
          <w:p>
            <w:pPr>
              <w:pStyle w:val="Compact"/>
              <w:jc w:val="left"/>
            </w:pPr>
            <w:r>
              <w:t xml:space="preserve">CF</w:t>
            </w:r>
          </w:p>
        </w:tc>
        <w:tc>
          <w:p>
            <w:pPr>
              <w:pStyle w:val="Compact"/>
              <w:jc w:val="right"/>
            </w:pPr>
            <w:r>
              <w:t xml:space="preserve">0.11</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0.14</w:t>
            </w:r>
          </w:p>
        </w:tc>
        <w:tc>
          <w:p>
            <w:pPr>
              <w:pStyle w:val="Compact"/>
              <w:jc w:val="right"/>
            </w:pPr>
            <w:r>
              <w:t xml:space="preserve">0.709</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3.46</w:t>
            </w:r>
          </w:p>
        </w:tc>
        <w:tc>
          <w:p>
            <w:pPr>
              <w:pStyle w:val="Compact"/>
              <w:jc w:val="right"/>
            </w:pPr>
            <w:r>
              <w:t xml:space="preserve">1,957.82</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12.8</w:t>
            </w:r>
          </w:p>
        </w:tc>
        <w:tc>
          <w:p>
            <w:pPr>
              <w:pStyle w:val="Compact"/>
              <w:jc w:val="right"/>
            </w:pPr>
            <w:r>
              <w:t xml:space="preserve">186.4</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4.34</w:t>
            </w:r>
          </w:p>
        </w:tc>
        <w:tc>
          <w:p>
            <w:pPr>
              <w:pStyle w:val="Compact"/>
              <w:jc w:val="right"/>
            </w:pPr>
            <w:r>
              <w:t xml:space="preserve">37.83</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0.06</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1.64</w:t>
            </w:r>
          </w:p>
        </w:tc>
        <w:tc>
          <w:p>
            <w:pPr>
              <w:pStyle w:val="Compact"/>
              <w:jc w:val="right"/>
            </w:pPr>
            <w:r>
              <w:t xml:space="preserve">0.200</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2.84</w:t>
            </w:r>
          </w:p>
        </w:tc>
        <w:tc>
          <w:p>
            <w:pPr>
              <w:pStyle w:val="Compact"/>
              <w:jc w:val="right"/>
            </w:pPr>
            <w:r>
              <w:t xml:space="preserve">360.41</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10.78</w:t>
            </w:r>
          </w:p>
        </w:tc>
        <w:tc>
          <w:p>
            <w:pPr>
              <w:pStyle w:val="Compact"/>
              <w:jc w:val="right"/>
            </w:pPr>
            <w:r>
              <w:t xml:space="preserve">73.09</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0</w:t>
            </w:r>
          </w:p>
        </w:tc>
        <w:tc>
          <w:p>
            <w:pPr>
              <w:pStyle w:val="Compact"/>
              <w:jc w:val="right"/>
            </w:pPr>
            <w:r>
              <w:t xml:space="preserve">0</w:t>
            </w:r>
          </w:p>
        </w:tc>
        <w:tc>
          <w:p>
            <w:pPr>
              <w:pStyle w:val="Compact"/>
              <w:jc w:val="right"/>
            </w:pPr>
            <w:r>
              <w:t xml:space="preserve">0.481</w:t>
            </w:r>
          </w:p>
        </w:tc>
      </w:tr>
      <w:tr>
        <w:tc>
          <w:p>
            <w:pPr>
              <w:pStyle w:val="Compact"/>
              <w:jc w:val="left"/>
            </w:pPr>
            <w:r>
              <w:t xml:space="preserve">log(size</w:t>
            </w:r>
            <w:r>
              <w:rPr>
                <w:vertAlign w:val="subscript"/>
              </w:rPr>
              <w:t xml:space="preserve">t+1</w:t>
            </w:r>
            <w:r>
              <w:t xml:space="preserve">)</w:t>
            </w:r>
          </w:p>
        </w:tc>
        <w:tc>
          <w:p>
            <w:pPr>
              <w:pStyle w:val="Compact"/>
              <w:jc w:val="left"/>
            </w:pPr>
            <w:r>
              <w:t xml:space="preserve">CF</w:t>
            </w:r>
          </w:p>
        </w:tc>
        <w:tc>
          <w:p>
            <w:pPr>
              <w:pStyle w:val="Compact"/>
              <w:jc w:val="right"/>
            </w:pPr>
            <w:r>
              <w:t xml:space="preserve">0.78</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3.74</w:t>
            </w:r>
          </w:p>
        </w:tc>
        <w:tc>
          <w:p>
            <w:pPr>
              <w:pStyle w:val="Compact"/>
              <w:jc w:val="right"/>
            </w:pPr>
            <w:r>
              <w:t xml:space="preserve">0.053</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9.39</w:t>
            </w:r>
          </w:p>
        </w:tc>
        <w:tc>
          <w:p>
            <w:pPr>
              <w:pStyle w:val="Compact"/>
              <w:jc w:val="right"/>
            </w:pPr>
            <w:r>
              <w:t xml:space="preserve">6,717.1</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15.14</w:t>
            </w:r>
          </w:p>
        </w:tc>
        <w:tc>
          <w:p>
            <w:pPr>
              <w:pStyle w:val="Compact"/>
              <w:jc w:val="right"/>
            </w:pPr>
            <w:r>
              <w:t xml:space="preserve">95.58</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4.08</w:t>
            </w:r>
          </w:p>
        </w:tc>
        <w:tc>
          <w:p>
            <w:pPr>
              <w:pStyle w:val="Compact"/>
              <w:jc w:val="right"/>
            </w:pPr>
            <w:r>
              <w:t xml:space="preserve">7.04</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0.7</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5.71</w:t>
            </w:r>
          </w:p>
        </w:tc>
        <w:tc>
          <w:p>
            <w:pPr>
              <w:pStyle w:val="Compact"/>
              <w:jc w:val="right"/>
            </w:pPr>
            <w:r>
              <w:t xml:space="preserve">0.017</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4.19</w:t>
            </w:r>
          </w:p>
        </w:tc>
        <w:tc>
          <w:p>
            <w:pPr>
              <w:pStyle w:val="Compact"/>
              <w:jc w:val="right"/>
            </w:pPr>
            <w:r>
              <w:t xml:space="preserve">3,006.2</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18.18</w:t>
            </w:r>
          </w:p>
        </w:tc>
        <w:tc>
          <w:p>
            <w:pPr>
              <w:pStyle w:val="Compact"/>
              <w:jc w:val="right"/>
            </w:pPr>
            <w:r>
              <w:t xml:space="preserve">27.04</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2.83</w:t>
            </w:r>
          </w:p>
        </w:tc>
        <w:tc>
          <w:p>
            <w:pPr>
              <w:pStyle w:val="Compact"/>
              <w:jc w:val="right"/>
            </w:pPr>
            <w:r>
              <w:t xml:space="preserve">23.03</w:t>
            </w:r>
          </w:p>
        </w:tc>
        <w:tc>
          <w:p>
            <w:pPr>
              <w:pStyle w:val="Compact"/>
              <w:jc w:val="right"/>
            </w:pPr>
            <w:r>
              <w:t xml:space="preserve">&lt;0.001</w:t>
            </w:r>
          </w:p>
        </w:tc>
      </w:tr>
      <w:tr>
        <w:tc>
          <w:p>
            <w:pPr>
              <w:pStyle w:val="Compact"/>
              <w:jc w:val="left"/>
            </w:pPr>
            <w:r>
              <w:t xml:space="preserve">flowering</w:t>
            </w:r>
            <w:r>
              <w:rPr>
                <w:vertAlign w:val="subscript"/>
              </w:rPr>
              <w:t xml:space="preserve">t+1</w:t>
            </w:r>
          </w:p>
        </w:tc>
        <w:tc>
          <w:p>
            <w:pPr>
              <w:pStyle w:val="Compact"/>
              <w:jc w:val="left"/>
            </w:pPr>
            <w:r>
              <w:t xml:space="preserve">CF</w:t>
            </w:r>
          </w:p>
        </w:tc>
        <w:tc>
          <w:p>
            <w:pPr>
              <w:pStyle w:val="Compact"/>
              <w:jc w:val="right"/>
            </w:pPr>
            <w:r>
              <w:t xml:space="preserve">0.19</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131.59</w:t>
            </w:r>
          </w:p>
        </w:tc>
        <w:tc>
          <w:p>
            <w:pPr>
              <w:pStyle w:val="Compact"/>
              <w:jc w:val="right"/>
            </w:pPr>
            <w:r>
              <w:t xml:space="preserve">&lt;0.001</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5.8</w:t>
            </w:r>
          </w:p>
        </w:tc>
        <w:tc>
          <w:p>
            <w:pPr>
              <w:pStyle w:val="Compact"/>
              <w:jc w:val="right"/>
            </w:pPr>
            <w:r>
              <w:t xml:space="preserve">1,748.08</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11.45</w:t>
            </w:r>
          </w:p>
        </w:tc>
        <w:tc>
          <w:p>
            <w:pPr>
              <w:pStyle w:val="Compact"/>
              <w:jc w:val="right"/>
            </w:pPr>
            <w:r>
              <w:t xml:space="preserve">415.26</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3.95</w:t>
            </w:r>
          </w:p>
        </w:tc>
        <w:tc>
          <w:p>
            <w:pPr>
              <w:pStyle w:val="Compact"/>
              <w:jc w:val="right"/>
            </w:pPr>
            <w:r>
              <w:t xml:space="preserve">47.54</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0.24</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38.76</w:t>
            </w:r>
          </w:p>
        </w:tc>
        <w:tc>
          <w:p>
            <w:pPr>
              <w:pStyle w:val="Compact"/>
              <w:jc w:val="right"/>
            </w:pPr>
            <w:r>
              <w:t xml:space="preserve">&lt;0.001</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3.4</w:t>
            </w:r>
          </w:p>
        </w:tc>
        <w:tc>
          <w:p>
            <w:pPr>
              <w:pStyle w:val="Compact"/>
              <w:jc w:val="right"/>
            </w:pPr>
            <w:r>
              <w:t xml:space="preserve">321.86</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14.13</w:t>
            </w:r>
          </w:p>
        </w:tc>
        <w:tc>
          <w:p>
            <w:pPr>
              <w:pStyle w:val="Compact"/>
              <w:jc w:val="right"/>
            </w:pPr>
            <w:r>
              <w:t xml:space="preserve">120.82</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2.51</w:t>
            </w:r>
          </w:p>
        </w:tc>
        <w:tc>
          <w:p>
            <w:pPr>
              <w:pStyle w:val="Compact"/>
              <w:jc w:val="right"/>
            </w:pPr>
            <w:r>
              <w:t xml:space="preserve">16.44</w:t>
            </w:r>
          </w:p>
        </w:tc>
        <w:tc>
          <w:p>
            <w:pPr>
              <w:pStyle w:val="Compact"/>
              <w:jc w:val="right"/>
            </w:pPr>
            <w:r>
              <w:t xml:space="preserve">&lt;0.001</w:t>
            </w:r>
          </w:p>
        </w:tc>
      </w:tr>
    </w:tbl>
    <w:bookmarkEnd w:id="40"/>
    <w:bookmarkStart w:id="47"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Marginal effect of plant size in the previous census on (a) survival, (b) log(size), and (c) flowering probability. Plots a–c were created by evaluating the smooth functions of log(size_t) 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itle="" id="1" name="Picture"/>
            <a:graphic>
              <a:graphicData uri="http://schemas.openxmlformats.org/drawingml/2006/picture">
                <pic:pic>
                  <pic:nvPicPr>
                    <pic:cNvPr descr="figures/size-plot-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Marginal effect of plant size in the previous census on (a) survival, (b) log(size), and (c) flowering probability. Plots a–c were created by evaluating the smooth functions of</w:t>
      </w:r>
      <w:r>
        <w:t xml:space="preserve"> </w:t>
      </w:r>
      <m:oMath>
        <m:r>
          <m:t>l</m:t>
        </m:r>
        <m:r>
          <m:t>o</m:t>
        </m:r>
        <m:r>
          <m:t>g</m:t>
        </m:r>
        <m:d>
          <m:dPr>
            <m:begChr m:val="("/>
            <m:endChr m:val=")"/>
            <m:grow/>
          </m:dPr>
          <m:e>
            <m:r>
              <m:t>s</m:t>
            </m:r>
            <m:r>
              <m:t>i</m:t>
            </m:r>
            <m:r>
              <m:t>z</m:t>
            </m:r>
            <m:sSub>
              <m:e>
                <m:r>
                  <m:t>e</m:t>
                </m:r>
              </m:e>
              <m:sub>
                <m:r>
                  <m:t>t</m:t>
                </m:r>
              </m:sub>
            </m:sSub>
          </m:e>
        </m:d>
      </m:oMath>
      <w:r>
        <w:t xml:space="preserve"> </w:t>
      </w:r>
      <w:r>
        <w:t xml:space="preserve">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w:t>
      </w:r>
    </w:p>
    <w:p>
      <w:pPr>
        <w:pStyle w:val="CaptionedFigure"/>
      </w:pPr>
      <w:r>
        <w:drawing>
          <wp:inline>
            <wp:extent cx="5943600" cy="6368142"/>
            <wp:effectExtent b="0" l="0" r="0" t="0"/>
            <wp:docPr descr="Figure 4: Marginal effect of lagged SPEI on H. acuminata 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surv-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Marginal effect of lagged SPEI on</w:t>
      </w:r>
      <w:r>
        <w:t xml:space="preserve"> </w:t>
      </w:r>
      <w:r>
        <w:rPr>
          <w:iCs/>
          <w:i/>
        </w:rPr>
        <w:t xml:space="preserve">H. acuminata</w:t>
      </w:r>
      <w:r>
        <w:t xml:space="preserve"> </w:t>
      </w:r>
      <w:r>
        <w:t xml:space="preserve">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p>
      <w:pPr>
        <w:pStyle w:val="CaptionedFigure"/>
      </w:pPr>
      <w:r>
        <w:drawing>
          <wp:inline>
            <wp:extent cx="5943600" cy="6368142"/>
            <wp:effectExtent b="0" l="0" r="0" t="0"/>
            <wp:docPr descr="Figure 5: Marginal effect of lagged SPEI on H. acuminata 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 title="" id="1" name="Picture"/>
            <a:graphic>
              <a:graphicData uri="http://schemas.openxmlformats.org/drawingml/2006/picture">
                <pic:pic>
                  <pic:nvPicPr>
                    <pic:cNvPr descr="figures/growth-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Marginal effect of lagged SPEI on</w:t>
      </w:r>
      <w:r>
        <w:t xml:space="preserve"> </w:t>
      </w:r>
      <w:r>
        <w:rPr>
          <w:iCs/>
          <w:i/>
        </w:rPr>
        <w:t xml:space="preserve">H. acuminata</w:t>
      </w:r>
      <w:r>
        <w:t xml:space="preserve"> </w:t>
      </w:r>
      <w:r>
        <w:t xml:space="preserve">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w:t>
      </w:r>
    </w:p>
    <w:p>
      <w:pPr>
        <w:pStyle w:val="CaptionedFigure"/>
      </w:pPr>
      <w:r>
        <w:drawing>
          <wp:inline>
            <wp:extent cx="5943600" cy="6368142"/>
            <wp:effectExtent b="0" l="0" r="0" t="0"/>
            <wp:docPr descr="Figure 6: Marginal effect of lagged SPEI on H. acuminata 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flwr-spei-1.png" id="0" name="Picture"/>
                    <pic:cNvPicPr>
                      <a:picLocks noChangeArrowheads="1" noChangeAspect="1"/>
                    </pic:cNvPicPr>
                  </pic:nvPicPr>
                  <pic:blipFill>
                    <a:blip r:embed="rId46"/>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Marginal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bookmarkEnd w:id="47"/>
    <w:bookmarkStart w:id="280" w:name="references"/>
    <w:p>
      <w:pPr>
        <w:pStyle w:val="Heading1"/>
      </w:pPr>
      <w:r>
        <w:t xml:space="preserve">References</w:t>
      </w:r>
    </w:p>
    <w:bookmarkStart w:id="279" w:name="refs"/>
    <w:bookmarkStart w:id="49"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8">
        <w:r>
          <w:rPr>
            <w:rStyle w:val="Hyperlink"/>
          </w:rPr>
          <w:t xml:space="preserve">https://doi.org/10.1111/1365-2745.13595</w:t>
        </w:r>
      </w:hyperlink>
    </w:p>
    <w:bookmarkEnd w:id="49"/>
    <w:bookmarkStart w:id="51"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50">
        <w:r>
          <w:rPr>
            <w:rStyle w:val="Hyperlink"/>
          </w:rPr>
          <w:t xml:space="preserve">https://doi.org/10.1007/s00442-017-3879-3</w:t>
        </w:r>
      </w:hyperlink>
    </w:p>
    <w:bookmarkEnd w:id="51"/>
    <w:bookmarkStart w:id="53"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2">
        <w:r>
          <w:rPr>
            <w:rStyle w:val="Hyperlink"/>
          </w:rPr>
          <w:t xml:space="preserve">https://doi.org/10.1073/pnas.1611855114</w:t>
        </w:r>
      </w:hyperlink>
    </w:p>
    <w:bookmarkEnd w:id="53"/>
    <w:bookmarkStart w:id="55"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4">
        <w:r>
          <w:rPr>
            <w:rStyle w:val="Hyperlink"/>
          </w:rPr>
          <w:t xml:space="preserve">https://doi.org/10.1126/science.aab1833</w:t>
        </w:r>
      </w:hyperlink>
    </w:p>
    <w:bookmarkEnd w:id="55"/>
    <w:bookmarkStart w:id="57"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6">
        <w:r>
          <w:rPr>
            <w:rStyle w:val="Hyperlink"/>
          </w:rPr>
          <w:t xml:space="preserve">https://doi.org/10.1007/s11284-016-1411-6</w:t>
        </w:r>
      </w:hyperlink>
    </w:p>
    <w:bookmarkEnd w:id="57"/>
    <w:bookmarkStart w:id="59"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8">
        <w:r>
          <w:rPr>
            <w:rStyle w:val="Hyperlink"/>
          </w:rPr>
          <w:t xml:space="preserve">https://CRAN.R-project.org/package=SPEI</w:t>
        </w:r>
      </w:hyperlink>
    </w:p>
    <w:bookmarkEnd w:id="59"/>
    <w:bookmarkStart w:id="61"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60">
        <w:r>
          <w:rPr>
            <w:rStyle w:val="Hyperlink"/>
          </w:rPr>
          <w:t xml:space="preserve">https://doi.org/10.1126/science.aax9387</w:t>
        </w:r>
      </w:hyperlink>
    </w:p>
    <w:bookmarkEnd w:id="61"/>
    <w:bookmarkStart w:id="63"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2">
        <w:r>
          <w:rPr>
            <w:rStyle w:val="Hyperlink"/>
          </w:rPr>
          <w:t xml:space="preserve">https://doi.org/10.1111/btp.12010</w:t>
        </w:r>
      </w:hyperlink>
    </w:p>
    <w:bookmarkEnd w:id="63"/>
    <w:bookmarkStart w:id="64"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4"/>
    <w:bookmarkStart w:id="66"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5">
        <w:r>
          <w:rPr>
            <w:rStyle w:val="Hyperlink"/>
          </w:rPr>
          <w:t xml:space="preserve">https://doi.org/10.2307/1312085</w:t>
        </w:r>
      </w:hyperlink>
    </w:p>
    <w:bookmarkEnd w:id="66"/>
    <w:bookmarkStart w:id="68"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7">
        <w:r>
          <w:rPr>
            <w:rStyle w:val="Hyperlink"/>
          </w:rPr>
          <w:t xml:space="preserve">https://doi.org/10.1016/j.biocon.2008.04.024</w:t>
        </w:r>
      </w:hyperlink>
    </w:p>
    <w:bookmarkEnd w:id="68"/>
    <w:bookmarkStart w:id="70"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9">
        <w:r>
          <w:rPr>
            <w:rStyle w:val="Hyperlink"/>
          </w:rPr>
          <w:t xml:space="preserve">https://doi.org/10.1016/j.tree.2011.09.008</w:t>
        </w:r>
      </w:hyperlink>
    </w:p>
    <w:bookmarkEnd w:id="70"/>
    <w:bookmarkStart w:id="72"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1">
        <w:r>
          <w:rPr>
            <w:rStyle w:val="Hyperlink"/>
          </w:rPr>
          <w:t xml:space="preserve">https://doi.org/10.1002/ecy.2706</w:t>
        </w:r>
      </w:hyperlink>
    </w:p>
    <w:bookmarkEnd w:id="72"/>
    <w:bookmarkStart w:id="74"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3">
        <w:r>
          <w:rPr>
            <w:rStyle w:val="Hyperlink"/>
          </w:rPr>
          <w:t xml:space="preserve">https://doi.org/10.1038/45963</w:t>
        </w:r>
      </w:hyperlink>
    </w:p>
    <w:bookmarkEnd w:id="74"/>
    <w:bookmarkStart w:id="76"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5">
        <w:r>
          <w:rPr>
            <w:rStyle w:val="Hyperlink"/>
          </w:rPr>
          <w:t xml:space="preserve">https://doi.org/10.1007/s00442-002-0956-y</w:t>
        </w:r>
      </w:hyperlink>
    </w:p>
    <w:bookmarkEnd w:id="76"/>
    <w:bookmarkStart w:id="78"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7">
        <w:r>
          <w:rPr>
            <w:rStyle w:val="Hyperlink"/>
          </w:rPr>
          <w:t xml:space="preserve">https://doi.org/10.1890/0012-9658(2003)084[0932:APPIFH]2.0.CO;2</w:t>
        </w:r>
      </w:hyperlink>
    </w:p>
    <w:bookmarkEnd w:id="78"/>
    <w:bookmarkStart w:id="80"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9">
        <w:r>
          <w:rPr>
            <w:rStyle w:val="Hyperlink"/>
          </w:rPr>
          <w:t xml:space="preserve">https://doi.org/10.1111/j.1654-1103.2009.01060.x</w:t>
        </w:r>
      </w:hyperlink>
    </w:p>
    <w:bookmarkEnd w:id="80"/>
    <w:bookmarkStart w:id="82"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1">
        <w:r>
          <w:rPr>
            <w:rStyle w:val="Hyperlink"/>
          </w:rPr>
          <w:t xml:space="preserve">https://doi.org/10.1046/j.1523-1739.2002.99494.x</w:t>
        </w:r>
      </w:hyperlink>
    </w:p>
    <w:bookmarkEnd w:id="82"/>
    <w:bookmarkStart w:id="84"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3">
        <w:r>
          <w:rPr>
            <w:rStyle w:val="Hyperlink"/>
          </w:rPr>
          <w:t xml:space="preserve">https://doi.org/10.1590/S0044-59672004000300012</w:t>
        </w:r>
      </w:hyperlink>
    </w:p>
    <w:bookmarkEnd w:id="84"/>
    <w:bookmarkStart w:id="86"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5">
        <w:r>
          <w:rPr>
            <w:rStyle w:val="Hyperlink"/>
          </w:rPr>
          <w:t xml:space="preserve">https://doi.org/10.1046/j.1365-2745.2002.00707.x</w:t>
        </w:r>
      </w:hyperlink>
    </w:p>
    <w:bookmarkEnd w:id="86"/>
    <w:bookmarkStart w:id="88"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7">
        <w:r>
          <w:rPr>
            <w:rStyle w:val="Hyperlink"/>
          </w:rPr>
          <w:t xml:space="preserve">https://doi.org/10.1890/04-1716</w:t>
        </w:r>
      </w:hyperlink>
    </w:p>
    <w:bookmarkEnd w:id="88"/>
    <w:bookmarkStart w:id="90"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9">
        <w:r>
          <w:rPr>
            <w:rStyle w:val="Hyperlink"/>
          </w:rPr>
          <w:t xml:space="preserve">https://doi.org/10.3732/ajb.92.12.2101</w:t>
        </w:r>
      </w:hyperlink>
    </w:p>
    <w:bookmarkEnd w:id="90"/>
    <w:bookmarkStart w:id="92"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1">
        <w:r>
          <w:rPr>
            <w:rStyle w:val="Hyperlink"/>
          </w:rPr>
          <w:t xml:space="preserve">https://doi.org/10.1139/x90-084</w:t>
        </w:r>
      </w:hyperlink>
    </w:p>
    <w:bookmarkEnd w:id="92"/>
    <w:bookmarkStart w:id="93" w:name="ref-compagnoni2021"/>
    <w:p>
      <w:pPr>
        <w:pStyle w:val="Bibliography"/>
      </w:pPr>
      <w:r>
        <w:t xml:space="preserve">Compagnoni, A., Evers, S., &amp; Knight, T. M. (2021). Spatial replication provides substantial opportunities to estimate plant population responses to temporal climatic variation.</w:t>
      </w:r>
      <w:r>
        <w:t xml:space="preserve"> </w:t>
      </w:r>
      <w:r>
        <w:rPr>
          <w:iCs/>
          <w:i/>
        </w:rPr>
        <w:t xml:space="preserve">Ecological</w:t>
      </w:r>
      <w:r>
        <w:rPr>
          <w:iCs/>
          <w:i/>
        </w:rPr>
        <w:t xml:space="preserve"> </w:t>
      </w:r>
      <w:r>
        <w:rPr>
          <w:iCs/>
          <w:i/>
        </w:rPr>
        <w:t xml:space="preserve">Society</w:t>
      </w:r>
      <w:r>
        <w:rPr>
          <w:iCs/>
          <w:i/>
        </w:rPr>
        <w:t xml:space="preserve"> </w:t>
      </w:r>
      <w:r>
        <w:rPr>
          <w:iCs/>
          <w:i/>
        </w:rPr>
        <w:t xml:space="preserve">of</w:t>
      </w:r>
      <w:r>
        <w:rPr>
          <w:iCs/>
          <w:i/>
        </w:rPr>
        <w:t xml:space="preserve"> </w:t>
      </w:r>
      <w:r>
        <w:rPr>
          <w:iCs/>
          <w:i/>
        </w:rPr>
        <w:t xml:space="preserve">America Annual Meeting</w:t>
      </w:r>
      <w:r>
        <w:t xml:space="preserve">.</w:t>
      </w:r>
    </w:p>
    <w:bookmarkEnd w:id="93"/>
    <w:bookmarkStart w:id="95"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4">
        <w:r>
          <w:rPr>
            <w:rStyle w:val="Hyperlink"/>
          </w:rPr>
          <w:t xml:space="preserve">https://doi.org/10.1017/S0266467403001081</w:t>
        </w:r>
      </w:hyperlink>
    </w:p>
    <w:bookmarkEnd w:id="95"/>
    <w:bookmarkStart w:id="96"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6"/>
    <w:bookmarkStart w:id="98"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7">
        <w:r>
          <w:rPr>
            <w:rStyle w:val="Hyperlink"/>
          </w:rPr>
          <w:t xml:space="preserve">https://doi.org/10.1111/mec.12495</w:t>
        </w:r>
      </w:hyperlink>
    </w:p>
    <w:bookmarkEnd w:id="98"/>
    <w:bookmarkStart w:id="100"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9">
        <w:r>
          <w:rPr>
            <w:rStyle w:val="Hyperlink"/>
          </w:rPr>
          <w:t xml:space="preserve">https://doi.org/10.17660/ActaHortic.1995.397.7</w:t>
        </w:r>
      </w:hyperlink>
    </w:p>
    <w:bookmarkEnd w:id="100"/>
    <w:bookmarkStart w:id="101"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101"/>
    <w:bookmarkStart w:id="103"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2">
        <w:r>
          <w:rPr>
            <w:rStyle w:val="Hyperlink"/>
          </w:rPr>
          <w:t xml:space="preserve">https://doi.org/10.1038/35003563</w:t>
        </w:r>
      </w:hyperlink>
    </w:p>
    <w:bookmarkEnd w:id="103"/>
    <w:bookmarkStart w:id="105"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4">
        <w:r>
          <w:rPr>
            <w:rStyle w:val="Hyperlink"/>
          </w:rPr>
          <w:t xml:space="preserve">https://doi.org/10.1111/j.1600-0706.2011.20273.x</w:t>
        </w:r>
      </w:hyperlink>
    </w:p>
    <w:bookmarkEnd w:id="105"/>
    <w:bookmarkStart w:id="107"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6">
        <w:r>
          <w:rPr>
            <w:rStyle w:val="Hyperlink"/>
          </w:rPr>
          <w:t xml:space="preserve">https://doi.org/10.1111/j.1744-7429.1999.tb00113.x</w:t>
        </w:r>
      </w:hyperlink>
    </w:p>
    <w:bookmarkEnd w:id="107"/>
    <w:bookmarkStart w:id="108"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8"/>
    <w:bookmarkStart w:id="110"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9">
        <w:r>
          <w:rPr>
            <w:rStyle w:val="Hyperlink"/>
          </w:rPr>
          <w:t xml:space="preserve">https://doi.org/10.1016/j.tree.2013.06.010</w:t>
        </w:r>
      </w:hyperlink>
    </w:p>
    <w:bookmarkEnd w:id="110"/>
    <w:bookmarkStart w:id="112" w:name="X3c08d7f199236138f81943ac74824d35d86f65d"/>
    <w:p>
      <w:pPr>
        <w:pStyle w:val="Bibliography"/>
      </w:pPr>
      <w:r>
        <w:t xml:space="preserve">Duffy, P. B., Brando, P., Asner, G. P., &amp; Field, C. B. (2015a).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1">
        <w:r>
          <w:rPr>
            <w:rStyle w:val="Hyperlink"/>
          </w:rPr>
          <w:t xml:space="preserve">https://doi.org/10.1073/pnas.1421010112</w:t>
        </w:r>
      </w:hyperlink>
    </w:p>
    <w:bookmarkEnd w:id="112"/>
    <w:bookmarkStart w:id="113" w:name="ref-duffy2015"/>
    <w:p>
      <w:pPr>
        <w:pStyle w:val="Bibliography"/>
      </w:pPr>
      <w:r>
        <w:t xml:space="preserve">Duffy, P. B., Brando, P., Asner, G. P., &amp; Field, C. B. (2015b).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1">
        <w:r>
          <w:rPr>
            <w:rStyle w:val="Hyperlink"/>
          </w:rPr>
          <w:t xml:space="preserve">https://doi.org/10.1073/pnas.1421010112</w:t>
        </w:r>
      </w:hyperlink>
    </w:p>
    <w:bookmarkEnd w:id="113"/>
    <w:bookmarkStart w:id="115"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4">
        <w:r>
          <w:rPr>
            <w:rStyle w:val="Hyperlink"/>
          </w:rPr>
          <w:t xml:space="preserve">https://doi.org/10.1111/j.1744-7429.2006.00098.x</w:t>
        </w:r>
      </w:hyperlink>
    </w:p>
    <w:bookmarkEnd w:id="115"/>
    <w:bookmarkStart w:id="117"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6">
        <w:r>
          <w:rPr>
            <w:rStyle w:val="Hyperlink"/>
          </w:rPr>
          <w:t xml:space="preserve">https://doi.org/10.1111/1365-2745.12523</w:t>
        </w:r>
      </w:hyperlink>
    </w:p>
    <w:bookmarkEnd w:id="117"/>
    <w:bookmarkStart w:id="118"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8"/>
    <w:bookmarkStart w:id="120"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9">
        <w:r>
          <w:rPr>
            <w:rStyle w:val="Hyperlink"/>
          </w:rPr>
          <w:t xml:space="preserve">https://doi.org/10.1111/gcb.14413</w:t>
        </w:r>
      </w:hyperlink>
    </w:p>
    <w:bookmarkEnd w:id="120"/>
    <w:bookmarkStart w:id="122"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21">
        <w:r>
          <w:rPr>
            <w:rStyle w:val="Hyperlink"/>
          </w:rPr>
          <w:t xml:space="preserve">https://doi.org/10.1111/nph.17005</w:t>
        </w:r>
      </w:hyperlink>
    </w:p>
    <w:bookmarkEnd w:id="122"/>
    <w:bookmarkStart w:id="124"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3">
        <w:r>
          <w:rPr>
            <w:rStyle w:val="Hyperlink"/>
          </w:rPr>
          <w:t xml:space="preserve">https://doi.org/10.1111/gcb.15519</w:t>
        </w:r>
      </w:hyperlink>
    </w:p>
    <w:bookmarkEnd w:id="124"/>
    <w:bookmarkStart w:id="126"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5">
        <w:r>
          <w:rPr>
            <w:rStyle w:val="Hyperlink"/>
          </w:rPr>
          <w:t xml:space="preserve">https://doi.org/10.1371/journal.pone.0058093</w:t>
        </w:r>
      </w:hyperlink>
    </w:p>
    <w:bookmarkEnd w:id="126"/>
    <w:bookmarkStart w:id="128"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7">
        <w:r>
          <w:rPr>
            <w:rStyle w:val="Hyperlink"/>
          </w:rPr>
          <w:t xml:space="preserve">https://doi.org/10.1111/j.1365-2486.2012.02719.x</w:t>
        </w:r>
      </w:hyperlink>
    </w:p>
    <w:bookmarkEnd w:id="128"/>
    <w:bookmarkStart w:id="130"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9">
        <w:r>
          <w:rPr>
            <w:rStyle w:val="Hyperlink"/>
          </w:rPr>
          <w:t xml:space="preserve">https://doi.org/10.1016/j.biocon.2010.11.015</w:t>
        </w:r>
      </w:hyperlink>
    </w:p>
    <w:bookmarkEnd w:id="130"/>
    <w:bookmarkStart w:id="132"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31">
        <w:r>
          <w:rPr>
            <w:rStyle w:val="Hyperlink"/>
          </w:rPr>
          <w:t xml:space="preserve">https://doi.org/10.1016/j.ecolmodel.2019.03.007</w:t>
        </w:r>
      </w:hyperlink>
    </w:p>
    <w:bookmarkEnd w:id="132"/>
    <w:bookmarkStart w:id="134"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3">
        <w:r>
          <w:rPr>
            <w:rStyle w:val="Hyperlink"/>
          </w:rPr>
          <w:t xml:space="preserve">https://doi.org/10.18637/jss.v043.i08</w:t>
        </w:r>
      </w:hyperlink>
    </w:p>
    <w:bookmarkEnd w:id="134"/>
    <w:bookmarkStart w:id="136"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5">
        <w:r>
          <w:rPr>
            <w:rStyle w:val="Hyperlink"/>
          </w:rPr>
          <w:t xml:space="preserve">https://doi.org/10.1111/biom.12645</w:t>
        </w:r>
      </w:hyperlink>
    </w:p>
    <w:bookmarkEnd w:id="136"/>
    <w:bookmarkStart w:id="138"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7">
        <w:r>
          <w:rPr>
            <w:rStyle w:val="Hyperlink"/>
          </w:rPr>
          <w:t xml:space="preserve">https://doi.org/10.2307/2388737</w:t>
        </w:r>
      </w:hyperlink>
    </w:p>
    <w:bookmarkEnd w:id="138"/>
    <w:bookmarkStart w:id="140"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9">
        <w:r>
          <w:rPr>
            <w:rStyle w:val="Hyperlink"/>
          </w:rPr>
          <w:t xml:space="preserve">https://doi.org/10.1111/ele.13659</w:t>
        </w:r>
      </w:hyperlink>
    </w:p>
    <w:bookmarkEnd w:id="140"/>
    <w:bookmarkStart w:id="142"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41">
        <w:r>
          <w:rPr>
            <w:rStyle w:val="Hyperlink"/>
          </w:rPr>
          <w:t xml:space="preserve">https://doi.org/10.1126/sciadv.1500052</w:t>
        </w:r>
      </w:hyperlink>
    </w:p>
    <w:bookmarkEnd w:id="142"/>
    <w:bookmarkStart w:id="144"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3">
        <w:r>
          <w:rPr>
            <w:rStyle w:val="Hyperlink"/>
          </w:rPr>
          <w:t xml:space="preserve">https://doi.org/10.1111/1749-4877.12167</w:t>
        </w:r>
      </w:hyperlink>
    </w:p>
    <w:bookmarkEnd w:id="144"/>
    <w:bookmarkStart w:id="146" w:name="ref-honnayPossibleEffectsHabitat2002"/>
    <w:p>
      <w:pPr>
        <w:pStyle w:val="Bibliography"/>
      </w:pPr>
      <w:r>
        <w:t xml:space="preserve">Honnay, O., Verheyen, K., Butaye, J., Jacquemyn, H., Bossuyt, B., &amp; Hermy, M. (2002). Possible effects of habitat fragmentation and climate change on the range of forest plant species.</w:t>
      </w:r>
      <w:r>
        <w:t xml:space="preserve"> </w:t>
      </w:r>
      <w:r>
        <w:rPr>
          <w:iCs/>
          <w:i/>
        </w:rPr>
        <w:t xml:space="preserve">Ecology Letters</w:t>
      </w:r>
      <w:r>
        <w:t xml:space="preserve">,</w:t>
      </w:r>
      <w:r>
        <w:t xml:space="preserve"> </w:t>
      </w:r>
      <w:r>
        <w:rPr>
          <w:iCs/>
          <w:i/>
        </w:rPr>
        <w:t xml:space="preserve">5</w:t>
      </w:r>
      <w:r>
        <w:t xml:space="preserve">(4), 525–530.</w:t>
      </w:r>
      <w:r>
        <w:t xml:space="preserve"> </w:t>
      </w:r>
      <w:hyperlink r:id="rId145">
        <w:r>
          <w:rPr>
            <w:rStyle w:val="Hyperlink"/>
          </w:rPr>
          <w:t xml:space="preserve">https://doi.org/10.1046/j.1461-0248.2002.00346.x</w:t>
        </w:r>
      </w:hyperlink>
    </w:p>
    <w:bookmarkEnd w:id="146"/>
    <w:bookmarkStart w:id="148"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7">
        <w:r>
          <w:rPr>
            <w:rStyle w:val="Hyperlink"/>
          </w:rPr>
          <w:t xml:space="preserve">https://doi.org/10.1029/2005GL025583</w:t>
        </w:r>
      </w:hyperlink>
    </w:p>
    <w:bookmarkEnd w:id="148"/>
    <w:bookmarkStart w:id="150"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9">
        <w:r>
          <w:rPr>
            <w:rStyle w:val="Hyperlink"/>
          </w:rPr>
          <w:t xml:space="preserve">https://doi.org/10.5194/bg-2021-30</w:t>
        </w:r>
      </w:hyperlink>
    </w:p>
    <w:bookmarkEnd w:id="150"/>
    <w:bookmarkStart w:id="152"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1">
        <w:r>
          <w:rPr>
            <w:rStyle w:val="Hyperlink"/>
          </w:rPr>
          <w:t xml:space="preserve">https://doi.org/10.1088/1748-9326/9/12/124021</w:t>
        </w:r>
      </w:hyperlink>
    </w:p>
    <w:bookmarkEnd w:id="152"/>
    <w:bookmarkStart w:id="154"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3">
        <w:r>
          <w:rPr>
            <w:rStyle w:val="Hyperlink"/>
          </w:rPr>
          <w:t xml:space="preserve">https://doi.org/10.1111/ele.13485</w:t>
        </w:r>
      </w:hyperlink>
    </w:p>
    <w:bookmarkEnd w:id="154"/>
    <w:bookmarkStart w:id="156"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5">
        <w:r>
          <w:rPr>
            <w:rStyle w:val="Hyperlink"/>
          </w:rPr>
          <w:t xml:space="preserve">https://doi.org/10.1111/1365-2435.13145</w:t>
        </w:r>
      </w:hyperlink>
    </w:p>
    <w:bookmarkEnd w:id="156"/>
    <w:bookmarkStart w:id="157"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7"/>
    <w:bookmarkStart w:id="159"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8">
        <w:r>
          <w:rPr>
            <w:rStyle w:val="Hyperlink"/>
          </w:rPr>
          <w:t xml:space="preserve">https://doi.org/ghwrqs</w:t>
        </w:r>
      </w:hyperlink>
    </w:p>
    <w:bookmarkEnd w:id="159"/>
    <w:bookmarkStart w:id="161"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60">
        <w:r>
          <w:rPr>
            <w:rStyle w:val="Hyperlink"/>
          </w:rPr>
          <w:t xml:space="preserve">https://doi.org/10.1890/14-0330.1</w:t>
        </w:r>
      </w:hyperlink>
    </w:p>
    <w:bookmarkEnd w:id="161"/>
    <w:bookmarkStart w:id="162"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2"/>
    <w:bookmarkStart w:id="164"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3">
        <w:r>
          <w:rPr>
            <w:rStyle w:val="Hyperlink"/>
          </w:rPr>
          <w:t xml:space="preserve">https://doi.org/10.1073/pnas.0609048103</w:t>
        </w:r>
      </w:hyperlink>
    </w:p>
    <w:bookmarkEnd w:id="164"/>
    <w:bookmarkStart w:id="166"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5">
        <w:r>
          <w:rPr>
            <w:rStyle w:val="Hyperlink"/>
          </w:rPr>
          <w:t xml:space="preserve">https://doi.org/10.1046/j.1523-1739.2001.01093.x</w:t>
        </w:r>
      </w:hyperlink>
    </w:p>
    <w:bookmarkEnd w:id="166"/>
    <w:bookmarkStart w:id="167"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7"/>
    <w:bookmarkStart w:id="169"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8">
        <w:r>
          <w:rPr>
            <w:rStyle w:val="Hyperlink"/>
          </w:rPr>
          <w:t xml:space="preserve">https://doi.org/10.1111/nph.15110</w:t>
        </w:r>
      </w:hyperlink>
    </w:p>
    <w:bookmarkEnd w:id="169"/>
    <w:bookmarkStart w:id="171"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70">
        <w:r>
          <w:rPr>
            <w:rStyle w:val="Hyperlink"/>
          </w:rPr>
          <w:t xml:space="preserve">https://doi.org/10.1175/2007JCLI1600.1</w:t>
        </w:r>
      </w:hyperlink>
    </w:p>
    <w:bookmarkEnd w:id="171"/>
    <w:bookmarkStart w:id="173"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2">
        <w:r>
          <w:rPr>
            <w:rStyle w:val="Hyperlink"/>
          </w:rPr>
          <w:t xml:space="preserve">https://doi.org/10.1111/j.1469-8137.2010.03391.x</w:t>
        </w:r>
      </w:hyperlink>
    </w:p>
    <w:bookmarkEnd w:id="173"/>
    <w:bookmarkStart w:id="175"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4">
        <w:r>
          <w:rPr>
            <w:rStyle w:val="Hyperlink"/>
          </w:rPr>
          <w:t xml:space="preserve">https://doi.org/10.1016/j.csda.2011.02.004</w:t>
        </w:r>
      </w:hyperlink>
    </w:p>
    <w:bookmarkEnd w:id="175"/>
    <w:bookmarkStart w:id="176"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6"/>
    <w:bookmarkStart w:id="178"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7">
        <w:r>
          <w:rPr>
            <w:rStyle w:val="Hyperlink"/>
          </w:rPr>
          <w:t xml:space="preserve">https://doi.org/10.1038/19193</w:t>
        </w:r>
      </w:hyperlink>
    </w:p>
    <w:bookmarkEnd w:id="178"/>
    <w:bookmarkStart w:id="180"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9">
        <w:r>
          <w:rPr>
            <w:rStyle w:val="Hyperlink"/>
          </w:rPr>
          <w:t xml:space="preserve">https://doi.org/10.1002/ecs2.1708</w:t>
        </w:r>
      </w:hyperlink>
    </w:p>
    <w:bookmarkEnd w:id="180"/>
    <w:bookmarkStart w:id="181"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81"/>
    <w:bookmarkStart w:id="183"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82">
        <w:r>
          <w:rPr>
            <w:rStyle w:val="Hyperlink"/>
          </w:rPr>
          <w:t xml:space="preserve">https://doi.org/10.1890/07-0774.1</w:t>
        </w:r>
      </w:hyperlink>
    </w:p>
    <w:bookmarkEnd w:id="183"/>
    <w:bookmarkStart w:id="184"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4"/>
    <w:bookmarkStart w:id="186"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5">
        <w:r>
          <w:rPr>
            <w:rStyle w:val="Hyperlink"/>
          </w:rPr>
          <w:t xml:space="preserve">https://doi.org/10.1016/j.foreco.2003.10.013</w:t>
        </w:r>
      </w:hyperlink>
    </w:p>
    <w:bookmarkEnd w:id="186"/>
    <w:bookmarkStart w:id="188"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7">
        <w:r>
          <w:rPr>
            <w:rStyle w:val="Hyperlink"/>
          </w:rPr>
          <w:t xml:space="preserve">https://doi.org/10.1111/ele.12399</w:t>
        </w:r>
      </w:hyperlink>
    </w:p>
    <w:bookmarkEnd w:id="188"/>
    <w:bookmarkStart w:id="190"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9">
        <w:r>
          <w:rPr>
            <w:rStyle w:val="Hyperlink"/>
          </w:rPr>
          <w:t xml:space="preserve">https://doi.org/10.1038/nclimate2746</w:t>
        </w:r>
      </w:hyperlink>
    </w:p>
    <w:bookmarkEnd w:id="190"/>
    <w:bookmarkStart w:id="191"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1"/>
    <w:bookmarkStart w:id="193"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2">
        <w:r>
          <w:rPr>
            <w:rStyle w:val="Hyperlink"/>
          </w:rPr>
          <w:t xml:space="preserve">https://doi.org/10.1111/1365-2656.13467</w:t>
        </w:r>
      </w:hyperlink>
    </w:p>
    <w:bookmarkEnd w:id="193"/>
    <w:bookmarkStart w:id="194" w:name="ref-parentOverviewPlantResponses2008"/>
    <w:p>
      <w:pPr>
        <w:pStyle w:val="Bibliography"/>
      </w:pPr>
      <w:r>
        <w:t xml:space="preserve">Parent, C., Nicolas, C., Audrey, B., Crevècoeur, M., &amp; Dat, J. (2008). An overview of plant responses to soil waterlogging.</w:t>
      </w:r>
      <w:r>
        <w:t xml:space="preserve"> </w:t>
      </w:r>
      <w:r>
        <w:rPr>
          <w:iCs/>
          <w:i/>
        </w:rPr>
        <w:t xml:space="preserve">Plant Stress</w:t>
      </w:r>
      <w:r>
        <w:t xml:space="preserve">,</w:t>
      </w:r>
      <w:r>
        <w:t xml:space="preserve"> </w:t>
      </w:r>
      <w:r>
        <w:rPr>
          <w:iCs/>
          <w:i/>
        </w:rPr>
        <w:t xml:space="preserve">2</w:t>
      </w:r>
      <w:r>
        <w:t xml:space="preserve">(1), 20–27.</w:t>
      </w:r>
    </w:p>
    <w:bookmarkEnd w:id="194"/>
    <w:bookmarkStart w:id="196" w:name="ref-pauCloudsTemperatureDrive2013"/>
    <w:p>
      <w:pPr>
        <w:pStyle w:val="Bibliography"/>
      </w:pPr>
      <w:r>
        <w:t xml:space="preserve">Pau, S., Wolkovich, E. M., Cook, B. I., Nytch, C. J., Regetz, J., Zimmerman, J. K., &amp; Joseph Wright, S.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r>
        <w:t xml:space="preserve"> </w:t>
      </w:r>
      <w:hyperlink r:id="rId195">
        <w:r>
          <w:rPr>
            <w:rStyle w:val="Hyperlink"/>
          </w:rPr>
          <w:t xml:space="preserve">https://doi.org/10.1038/nclimate1934</w:t>
        </w:r>
      </w:hyperlink>
    </w:p>
    <w:bookmarkEnd w:id="196"/>
    <w:bookmarkStart w:id="197"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7"/>
    <w:bookmarkStart w:id="199"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8">
        <w:r>
          <w:rPr>
            <w:rStyle w:val="Hyperlink"/>
          </w:rPr>
          <w:t xml:space="preserve">https://doi.org/10.1673/031.003.3401</w:t>
        </w:r>
      </w:hyperlink>
    </w:p>
    <w:bookmarkEnd w:id="199"/>
    <w:bookmarkStart w:id="200"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200"/>
    <w:bookmarkStart w:id="202"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201">
        <w:r>
          <w:rPr>
            <w:rStyle w:val="Hyperlink"/>
          </w:rPr>
          <w:t xml:space="preserve">https://doi.org/10.1111/j.1469-8137.2010.03359.x</w:t>
        </w:r>
      </w:hyperlink>
    </w:p>
    <w:bookmarkEnd w:id="202"/>
    <w:bookmarkStart w:id="204"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3">
        <w:r>
          <w:rPr>
            <w:rStyle w:val="Hyperlink"/>
          </w:rPr>
          <w:t xml:space="preserve">https://doi.org/10.1007/s11240-012-0160-7</w:t>
        </w:r>
      </w:hyperlink>
    </w:p>
    <w:bookmarkEnd w:id="204"/>
    <w:bookmarkStart w:id="205"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5"/>
    <w:bookmarkStart w:id="207"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6">
        <w:r>
          <w:rPr>
            <w:rStyle w:val="Hyperlink"/>
          </w:rPr>
          <w:t xml:space="preserve">https://doi.org/10.1590/1809-43921992224534</w:t>
        </w:r>
      </w:hyperlink>
    </w:p>
    <w:bookmarkEnd w:id="207"/>
    <w:bookmarkStart w:id="208"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8"/>
    <w:bookmarkStart w:id="210"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9">
        <w:r>
          <w:rPr>
            <w:rStyle w:val="Hyperlink"/>
          </w:rPr>
          <w:t xml:space="preserve">https://doi.org/10.7717/peerj.9958</w:t>
        </w:r>
      </w:hyperlink>
    </w:p>
    <w:bookmarkEnd w:id="210"/>
    <w:bookmarkStart w:id="212"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11">
        <w:r>
          <w:rPr>
            <w:rStyle w:val="Hyperlink"/>
          </w:rPr>
          <w:t xml:space="preserve">https://doi.org/10.1017/S0266467498000571</w:t>
        </w:r>
      </w:hyperlink>
    </w:p>
    <w:bookmarkEnd w:id="212"/>
    <w:bookmarkStart w:id="214"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3">
        <w:r>
          <w:rPr>
            <w:rStyle w:val="Hyperlink"/>
          </w:rPr>
          <w:t xml:space="preserve">https://doi.org/10.1111/1365-2745.12334</w:t>
        </w:r>
      </w:hyperlink>
    </w:p>
    <w:bookmarkEnd w:id="214"/>
    <w:bookmarkStart w:id="216"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5">
        <w:r>
          <w:rPr>
            <w:rStyle w:val="Hyperlink"/>
          </w:rPr>
          <w:t xml:space="preserve">https://doi.org/10.1007/s11258-017-0754-6</w:t>
        </w:r>
      </w:hyperlink>
    </w:p>
    <w:bookmarkEnd w:id="216"/>
    <w:bookmarkStart w:id="218"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7">
        <w:r>
          <w:rPr>
            <w:rStyle w:val="Hyperlink"/>
          </w:rPr>
          <w:t xml:space="preserve">https://doi.org/10.1046/j.1365-2745.1999.00332.x</w:t>
        </w:r>
      </w:hyperlink>
    </w:p>
    <w:bookmarkEnd w:id="218"/>
    <w:bookmarkStart w:id="220"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9">
        <w:r>
          <w:rPr>
            <w:rStyle w:val="Hyperlink"/>
          </w:rPr>
          <w:t xml:space="preserve">https://doi.org/10.1111/btp.12355</w:t>
        </w:r>
      </w:hyperlink>
    </w:p>
    <w:bookmarkEnd w:id="220"/>
    <w:bookmarkStart w:id="222"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21">
        <w:r>
          <w:rPr>
            <w:rStyle w:val="Hyperlink"/>
          </w:rPr>
          <w:t xml:space="preserve">https://doi.org/10.1038/nature23021</w:t>
        </w:r>
      </w:hyperlink>
    </w:p>
    <w:bookmarkEnd w:id="222"/>
    <w:bookmarkStart w:id="224"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3">
        <w:r>
          <w:rPr>
            <w:rStyle w:val="Hyperlink"/>
          </w:rPr>
          <w:t xml:space="preserve">https://doi.org/10.1002/ecy.2677</w:t>
        </w:r>
      </w:hyperlink>
    </w:p>
    <w:bookmarkEnd w:id="224"/>
    <w:bookmarkStart w:id="226"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5">
        <w:r>
          <w:rPr>
            <w:rStyle w:val="Hyperlink"/>
          </w:rPr>
          <w:t xml:space="preserve">https://doi.org/10.1111/een.13023</w:t>
        </w:r>
      </w:hyperlink>
    </w:p>
    <w:bookmarkEnd w:id="226"/>
    <w:bookmarkStart w:id="228"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7">
        <w:r>
          <w:rPr>
            <w:rStyle w:val="Hyperlink"/>
          </w:rPr>
          <w:t xml:space="preserve">https://doi.org/10.1111/brv.12136</w:t>
        </w:r>
      </w:hyperlink>
    </w:p>
    <w:bookmarkEnd w:id="228"/>
    <w:bookmarkStart w:id="230"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9">
        <w:r>
          <w:rPr>
            <w:rStyle w:val="Hyperlink"/>
          </w:rPr>
          <w:t xml:space="preserve">https://doi.org/10.1038/s41559-020-01368-x</w:t>
        </w:r>
      </w:hyperlink>
    </w:p>
    <w:bookmarkEnd w:id="230"/>
    <w:bookmarkStart w:id="231"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31"/>
    <w:bookmarkStart w:id="233"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2">
        <w:r>
          <w:rPr>
            <w:rStyle w:val="Hyperlink"/>
          </w:rPr>
          <w:t xml:space="preserve">https://doi.org/10.1111/j.1365-2745.2005.01008.x</w:t>
        </w:r>
      </w:hyperlink>
    </w:p>
    <w:bookmarkEnd w:id="233"/>
    <w:bookmarkStart w:id="235"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4">
        <w:r>
          <w:rPr>
            <w:rStyle w:val="Hyperlink"/>
          </w:rPr>
          <w:t xml:space="preserve">https://doi.org/10.2307/2387865</w:t>
        </w:r>
      </w:hyperlink>
    </w:p>
    <w:bookmarkEnd w:id="235"/>
    <w:bookmarkStart w:id="237"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6">
        <w:r>
          <w:rPr>
            <w:rStyle w:val="Hyperlink"/>
          </w:rPr>
          <w:t xml:space="preserve">https://doi.org/10.2307/1934961</w:t>
        </w:r>
      </w:hyperlink>
    </w:p>
    <w:bookmarkEnd w:id="237"/>
    <w:bookmarkStart w:id="238"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8"/>
    <w:bookmarkStart w:id="240"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9">
        <w:r>
          <w:rPr>
            <w:rStyle w:val="Hyperlink"/>
          </w:rPr>
          <w:t xml:space="preserve">https://doi.org/10.1038/nature25508</w:t>
        </w:r>
      </w:hyperlink>
    </w:p>
    <w:bookmarkEnd w:id="240"/>
    <w:bookmarkStart w:id="242"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41">
        <w:r>
          <w:rPr>
            <w:rStyle w:val="Hyperlink"/>
          </w:rPr>
          <w:t xml:space="preserve">https://doi.org/10.1111/2041-210X.12486</w:t>
        </w:r>
      </w:hyperlink>
    </w:p>
    <w:bookmarkEnd w:id="242"/>
    <w:bookmarkStart w:id="244"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3">
        <w:r>
          <w:rPr>
            <w:rStyle w:val="Hyperlink"/>
          </w:rPr>
          <w:t xml:space="preserve">https://doi.org/10.1002/ecy.2163</w:t>
        </w:r>
      </w:hyperlink>
    </w:p>
    <w:bookmarkEnd w:id="244"/>
    <w:bookmarkStart w:id="246"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5">
        <w:r>
          <w:rPr>
            <w:rStyle w:val="Hyperlink"/>
          </w:rPr>
          <w:t xml:space="preserve">https://doi.org/10.1111/j.1744-7429.2003.tb00278.x</w:t>
        </w:r>
      </w:hyperlink>
    </w:p>
    <w:bookmarkEnd w:id="246"/>
    <w:bookmarkStart w:id="248"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7">
        <w:r>
          <w:rPr>
            <w:rStyle w:val="Hyperlink"/>
          </w:rPr>
          <w:t xml:space="preserve">https://doi.org/10.1890/10-0709.1</w:t>
        </w:r>
      </w:hyperlink>
    </w:p>
    <w:bookmarkEnd w:id="248"/>
    <w:bookmarkStart w:id="250"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9">
        <w:r>
          <w:rPr>
            <w:rStyle w:val="Hyperlink"/>
          </w:rPr>
          <w:t xml:space="preserve">https://doi.org/10.1890/09-0785.1</w:t>
        </w:r>
      </w:hyperlink>
    </w:p>
    <w:bookmarkEnd w:id="250"/>
    <w:bookmarkStart w:id="252"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51">
        <w:r>
          <w:rPr>
            <w:rStyle w:val="Hyperlink"/>
          </w:rPr>
          <w:t xml:space="preserve">https://doi.org/10.1111/gcb.14000</w:t>
        </w:r>
      </w:hyperlink>
    </w:p>
    <w:bookmarkEnd w:id="252"/>
    <w:bookmarkStart w:id="254"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3">
        <w:r>
          <w:rPr>
            <w:rStyle w:val="Hyperlink"/>
          </w:rPr>
          <w:t xml:space="preserve">https://doi.org/10.1111/btp.12380</w:t>
        </w:r>
      </w:hyperlink>
    </w:p>
    <w:bookmarkEnd w:id="254"/>
    <w:bookmarkStart w:id="256" w:name="ref-vandepolIdentifyingBestClimatic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5">
        <w:r>
          <w:rPr>
            <w:rStyle w:val="Hyperlink"/>
          </w:rPr>
          <w:t xml:space="preserve">https://doi.org/10.1111/2041-210X.12590</w:t>
        </w:r>
      </w:hyperlink>
    </w:p>
    <w:bookmarkEnd w:id="256"/>
    <w:bookmarkStart w:id="258"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7">
        <w:r>
          <w:rPr>
            <w:rStyle w:val="Hyperlink"/>
          </w:rPr>
          <w:t xml:space="preserve">https://doi.org/10.1890/03-5093</w:t>
        </w:r>
      </w:hyperlink>
    </w:p>
    <w:bookmarkEnd w:id="258"/>
    <w:bookmarkStart w:id="260"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9">
        <w:r>
          <w:rPr>
            <w:rStyle w:val="Hyperlink"/>
          </w:rPr>
          <w:t xml:space="preserve">https://doi.org/10.1175/2009JCLI2909.1</w:t>
        </w:r>
      </w:hyperlink>
    </w:p>
    <w:bookmarkEnd w:id="260"/>
    <w:bookmarkStart w:id="262"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61">
        <w:r>
          <w:rPr>
            <w:rStyle w:val="Hyperlink"/>
          </w:rPr>
          <w:t xml:space="preserve">https://doi.org/10.1111/1365-2745.12757</w:t>
        </w:r>
      </w:hyperlink>
    </w:p>
    <w:bookmarkEnd w:id="262"/>
    <w:bookmarkStart w:id="263"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63"/>
    <w:bookmarkStart w:id="265"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4">
        <w:r>
          <w:rPr>
            <w:rStyle w:val="Hyperlink"/>
          </w:rPr>
          <w:t xml:space="preserve">https://doi.org/10.1111/1365-2745.12369</w:t>
        </w:r>
      </w:hyperlink>
    </w:p>
    <w:bookmarkEnd w:id="265"/>
    <w:bookmarkStart w:id="267"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6">
        <w:r>
          <w:rPr>
            <w:rStyle w:val="Hyperlink"/>
          </w:rPr>
          <w:t xml:space="preserve">https://doi.org/10.1046/j.1523-1739.2000.99298.x</w:t>
        </w:r>
      </w:hyperlink>
    </w:p>
    <w:bookmarkEnd w:id="267"/>
    <w:bookmarkStart w:id="268"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8"/>
    <w:bookmarkStart w:id="270"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9">
        <w:r>
          <w:rPr>
            <w:rStyle w:val="Hyperlink"/>
          </w:rPr>
          <w:t xml:space="preserve">https://doi.org/10.1016/0169-5347(92)90171-7</w:t>
        </w:r>
      </w:hyperlink>
    </w:p>
    <w:bookmarkEnd w:id="270"/>
    <w:bookmarkStart w:id="272"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71">
        <w:r>
          <w:rPr>
            <w:rStyle w:val="Hyperlink"/>
          </w:rPr>
          <w:t xml:space="preserve">https://doi.org/10.1111/j.1461-0248.2005.00851.x</w:t>
        </w:r>
      </w:hyperlink>
    </w:p>
    <w:bookmarkEnd w:id="272"/>
    <w:bookmarkStart w:id="273"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73"/>
    <w:bookmarkStart w:id="275"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4">
        <w:r>
          <w:rPr>
            <w:rStyle w:val="Hyperlink"/>
          </w:rPr>
          <w:t xml:space="preserve">https://doi.org/10.1002/joc.4518</w:t>
        </w:r>
      </w:hyperlink>
    </w:p>
    <w:bookmarkEnd w:id="275"/>
    <w:bookmarkStart w:id="276"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6"/>
    <w:bookmarkStart w:id="278"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7">
        <w:r>
          <w:rPr>
            <w:rStyle w:val="Hyperlink"/>
          </w:rPr>
          <w:t xml:space="preserve">https://doi.org/10.1088/1748-9326/3/1/014002</w:t>
        </w:r>
      </w:hyperlink>
    </w:p>
    <w:bookmarkEnd w:id="278"/>
    <w:bookmarkEnd w:id="279"/>
    <w:bookmarkEnd w:id="280"/>
    <w:sectPr w:rsidR="00A0640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6594726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FF43E7C"/>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848A185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F3C2DFE6"/>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740688B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36269E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FFB8BFD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A52E58BE"/>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1DB64E4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DF08E71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9FAE5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11"/>
  </w:num>
  <w:num w:numId="14">
    <w:abstractNumId w:val="11"/>
  </w:num>
  <w:num w:numId="15">
    <w:abstractNumId w:val="11"/>
  </w:num>
  <w:num w:numId="16">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rsid w:val="00EA7CC1"/>
    <w:pPr>
      <w:spacing w:after="36" w:before="36" w:line="240" w:lineRule="auto"/>
      <w:jc w:val="center"/>
    </w:pPr>
    <w:rPr>
      <w:sz w:val="22"/>
    </w:r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rsid w:val="00CA371C"/>
    <w:rPr>
      <w:sz w:val="22"/>
      <w:szCs w:val="20"/>
      <w:lang w:eastAsia="zh-CN"/>
    </w:rPr>
    <w:tblPr>
      <w:tblInd w:type="dxa" w:w="0"/>
      <w:tblBorders>
        <w:top w:color="auto" w:space="0" w:sz="4" w:val="single"/>
        <w:bottom w:color="auto" w:space="0" w:sz="4" w:val="single"/>
      </w:tblBorders>
      <w:tblCellMar>
        <w:top w:type="dxa" w:w="0"/>
        <w:left w:type="dxa" w:w="108"/>
        <w:bottom w:type="dxa" w:w="0"/>
        <w:right w:type="dxa" w:w="108"/>
      </w:tblCellMar>
    </w:tblPr>
    <w:tblStylePr w:type="firstRow">
      <w:tblPr/>
      <w:tcPr>
        <w:tcBorders>
          <w:bottom w:color="auto" w:space="0" w:sz="4"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pPr>
      <w:keepNext/>
    </w:pPr>
  </w:style>
  <w:style w:customStyle="1" w:styleId="ImageCaption" w:type="paragraph">
    <w:name w:val="Image Caption"/>
    <w:basedOn w:val="Caption"/>
    <w:rsid w:val="001B6ADB"/>
    <w:pPr>
      <w:spacing w:line="480" w:lineRule="auto"/>
    </w:pPr>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 w:customStyle="1" w:styleId="Academic" w:type="table">
    <w:name w:val="Academic"/>
    <w:basedOn w:val="TableNormal"/>
    <w:uiPriority w:val="99"/>
    <w:rsid w:val="004418BF"/>
    <w:pPr>
      <w:spacing w:after="0"/>
    </w:pPr>
    <w:rPr>
      <w:sz w:val="22"/>
    </w:rPr>
    <w:tblPr>
      <w:tblBorders>
        <w:top w:color="auto" w:space="0" w:sz="4" w:val="single"/>
        <w:bottom w:color="auto" w:space="0" w:sz="4" w:val="single"/>
      </w:tblBorders>
    </w:tblPr>
    <w:tblStylePr w:type="firstRow">
      <w:rPr>
        <w:rFonts w:asciiTheme="minorHAnsi" w:hAnsiTheme="minorHAnsi"/>
        <w:sz w:val="22"/>
      </w:rPr>
      <w:tblPr/>
      <w:tcPr>
        <w:tcBorders>
          <w:bottom w:color="auto" w:space="0" w:sz="4" w:val="single"/>
        </w:tcBorders>
      </w:tcPr>
    </w:tblStylePr>
  </w:style>
  <w:style w:styleId="TableGrid" w:type="table">
    <w:name w:val="Table Grid"/>
    <w:basedOn w:val="TableNormal"/>
    <w:rsid w:val="004418B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2" w:type="table">
    <w:name w:val="Grid Table 2"/>
    <w:basedOn w:val="TableNormal"/>
    <w:rsid w:val="004418BF"/>
    <w:pPr>
      <w:spacing w:after="0"/>
    </w:pPr>
    <w:tblPr>
      <w:tblStyleRowBandSize w:val="1"/>
      <w:tblStyleColBandSize w:val="1"/>
      <w:tblBorders>
        <w:top w:color="666666" w:space="0" w:sz="2" w:themeColor="text1" w:themeTint="99" w:val="single"/>
        <w:bottom w:color="666666" w:space="0" w:sz="2" w:themeColor="text1" w:themeTint="99" w:val="single"/>
        <w:insideH w:color="666666" w:space="0" w:sz="2" w:themeColor="text1" w:themeTint="99" w:val="single"/>
        <w:insideV w:color="666666" w:space="0" w:sz="2" w:themeColor="text1" w:themeTint="99" w:val="single"/>
      </w:tblBorders>
    </w:tblPr>
    <w:tblStylePr w:type="firstRow">
      <w:rPr>
        <w:b/>
        <w:bCs/>
      </w:rPr>
      <w:tblPr/>
      <w:tcPr>
        <w:tcBorders>
          <w:top w:val="nil"/>
          <w:bottom w:color="666666" w:space="0" w:sz="12" w:themeColor="text1" w:themeTint="99" w:val="single"/>
          <w:insideH w:val="nil"/>
          <w:insideV w:val="nil"/>
        </w:tcBorders>
        <w:shd w:color="auto" w:fill="FFFFFF" w:themeFill="background1" w:val="clear"/>
      </w:tcPr>
    </w:tblStylePr>
    <w:tblStylePr w:type="lastRow">
      <w:rPr>
        <w:b/>
        <w:bCs/>
      </w:rPr>
      <w:tblPr/>
      <w:tcPr>
        <w:tcBorders>
          <w:top w:color="666666" w:space="0" w:sz="2" w:themeColor="text1" w:themeTint="99"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hyperlink" Id="rId58" Target="https://CRAN.R-project.org/package=SPEI" TargetMode="External" /><Relationship Type="http://schemas.openxmlformats.org/officeDocument/2006/relationships/hyperlink" Id="rId179" Target="https://doi.org/10.1002/ecs2.1708" TargetMode="External" /><Relationship Type="http://schemas.openxmlformats.org/officeDocument/2006/relationships/hyperlink" Id="rId243" Target="https://doi.org/10.1002/ecy.2163" TargetMode="External" /><Relationship Type="http://schemas.openxmlformats.org/officeDocument/2006/relationships/hyperlink" Id="rId223"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4" Target="https://doi.org/10.1002/joc.4518" TargetMode="External" /><Relationship Type="http://schemas.openxmlformats.org/officeDocument/2006/relationships/hyperlink" Id="rId75" Target="https://doi.org/10.1007/s00442-002-0956-y" TargetMode="External" /><Relationship Type="http://schemas.openxmlformats.org/officeDocument/2006/relationships/hyperlink" Id="rId50" Target="https://doi.org/10.1007/s00442-017-3879-3" TargetMode="External" /><Relationship Type="http://schemas.openxmlformats.org/officeDocument/2006/relationships/hyperlink" Id="rId203" Target="https://doi.org/10.1007/s11240-012-0160-7" TargetMode="External" /><Relationship Type="http://schemas.openxmlformats.org/officeDocument/2006/relationships/hyperlink" Id="rId215" Target="https://doi.org/10.1007/s11258-017-0754-6" TargetMode="External" /><Relationship Type="http://schemas.openxmlformats.org/officeDocument/2006/relationships/hyperlink" Id="rId56" Target="https://doi.org/10.1007/s11284-016-1411-6" TargetMode="External" /><Relationship Type="http://schemas.openxmlformats.org/officeDocument/2006/relationships/hyperlink" Id="rId269"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9" Target="https://doi.org/10.1016/j.biocon.2010.11.015" TargetMode="External" /><Relationship Type="http://schemas.openxmlformats.org/officeDocument/2006/relationships/hyperlink" Id="rId174" Target="https://doi.org/10.1016/j.csda.2011.02.004" TargetMode="External" /><Relationship Type="http://schemas.openxmlformats.org/officeDocument/2006/relationships/hyperlink" Id="rId131" Target="https://doi.org/10.1016/j.ecolmodel.2019.03.007" TargetMode="External" /><Relationship Type="http://schemas.openxmlformats.org/officeDocument/2006/relationships/hyperlink" Id="rId185"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09" Target="https://doi.org/10.1016/j.tree.2013.06.010" TargetMode="External" /><Relationship Type="http://schemas.openxmlformats.org/officeDocument/2006/relationships/hyperlink" Id="rId94" Target="https://doi.org/10.1017/S0266467403001081" TargetMode="External" /><Relationship Type="http://schemas.openxmlformats.org/officeDocument/2006/relationships/hyperlink" Id="rId211" Target="https://doi.org/10.1017/S0266467498000571" TargetMode="External" /><Relationship Type="http://schemas.openxmlformats.org/officeDocument/2006/relationships/hyperlink" Id="rId147" Target="https://doi.org/10.1029/2005GL025583" TargetMode="External" /><Relationship Type="http://schemas.openxmlformats.org/officeDocument/2006/relationships/hyperlink" Id="rId177" Target="https://doi.org/10.1038/19193" TargetMode="External" /><Relationship Type="http://schemas.openxmlformats.org/officeDocument/2006/relationships/hyperlink" Id="rId102"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221" Target="https://doi.org/10.1038/nature23021" TargetMode="External" /><Relationship Type="http://schemas.openxmlformats.org/officeDocument/2006/relationships/hyperlink" Id="rId239" Target="https://doi.org/10.1038/nature25508" TargetMode="External" /><Relationship Type="http://schemas.openxmlformats.org/officeDocument/2006/relationships/hyperlink" Id="rId195" Target="https://doi.org/10.1038/nclimate1934" TargetMode="External" /><Relationship Type="http://schemas.openxmlformats.org/officeDocument/2006/relationships/hyperlink" Id="rId189" Target="https://doi.org/10.1038/nclimate2746" TargetMode="External" /><Relationship Type="http://schemas.openxmlformats.org/officeDocument/2006/relationships/hyperlink" Id="rId229" Target="https://doi.org/10.1038/s41559-020-01368-x" TargetMode="External" /><Relationship Type="http://schemas.openxmlformats.org/officeDocument/2006/relationships/hyperlink" Id="rId217"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145" Target="https://doi.org/10.1046/j.1461-0248.2002.00346.x" TargetMode="External" /><Relationship Type="http://schemas.openxmlformats.org/officeDocument/2006/relationships/hyperlink" Id="rId266" Target="https://doi.org/10.1046/j.1523-1739.2000.99298.x" TargetMode="External" /><Relationship Type="http://schemas.openxmlformats.org/officeDocument/2006/relationships/hyperlink" Id="rId165"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3" Target="https://doi.org/10.1073/pnas.0609048103" TargetMode="External" /><Relationship Type="http://schemas.openxmlformats.org/officeDocument/2006/relationships/hyperlink" Id="rId111" Target="https://doi.org/10.1073/pnas.1421010112" TargetMode="External" /><Relationship Type="http://schemas.openxmlformats.org/officeDocument/2006/relationships/hyperlink" Id="rId52" Target="https://doi.org/10.1073/pnas.1611855114" TargetMode="External" /><Relationship Type="http://schemas.openxmlformats.org/officeDocument/2006/relationships/hyperlink" Id="rId277" Target="https://doi.org/10.1088/1748-9326/3/1/014002" TargetMode="External" /><Relationship Type="http://schemas.openxmlformats.org/officeDocument/2006/relationships/hyperlink" Id="rId151" Target="https://doi.org/10.1088/1748-9326/9/12/124021" TargetMode="External" /><Relationship Type="http://schemas.openxmlformats.org/officeDocument/2006/relationships/hyperlink" Id="rId155" Target="https://doi.org/10.1111/1365-2435.13145" TargetMode="External" /><Relationship Type="http://schemas.openxmlformats.org/officeDocument/2006/relationships/hyperlink" Id="rId192" Target="https://doi.org/10.1111/1365-2656.13467" TargetMode="External" /><Relationship Type="http://schemas.openxmlformats.org/officeDocument/2006/relationships/hyperlink" Id="rId213" Target="https://doi.org/10.1111/1365-2745.12334" TargetMode="External" /><Relationship Type="http://schemas.openxmlformats.org/officeDocument/2006/relationships/hyperlink" Id="rId264" Target="https://doi.org/10.1111/1365-2745.12369" TargetMode="External" /><Relationship Type="http://schemas.openxmlformats.org/officeDocument/2006/relationships/hyperlink" Id="rId116" Target="https://doi.org/10.1111/1365-2745.12523" TargetMode="External" /><Relationship Type="http://schemas.openxmlformats.org/officeDocument/2006/relationships/hyperlink" Id="rId261" Target="https://doi.org/10.1111/1365-2745.12757" TargetMode="External" /><Relationship Type="http://schemas.openxmlformats.org/officeDocument/2006/relationships/hyperlink" Id="rId48" Target="https://doi.org/10.1111/1365-2745.13595" TargetMode="External" /><Relationship Type="http://schemas.openxmlformats.org/officeDocument/2006/relationships/hyperlink" Id="rId143" Target="https://doi.org/10.1111/1749-4877.12167" TargetMode="External" /><Relationship Type="http://schemas.openxmlformats.org/officeDocument/2006/relationships/hyperlink" Id="rId241" Target="https://doi.org/10.1111/2041-210X.12486" TargetMode="External" /><Relationship Type="http://schemas.openxmlformats.org/officeDocument/2006/relationships/hyperlink" Id="rId255" Target="https://doi.org/10.1111/2041-210X.12590" TargetMode="External" /><Relationship Type="http://schemas.openxmlformats.org/officeDocument/2006/relationships/hyperlink" Id="rId135" Target="https://doi.org/10.1111/biom.12645" TargetMode="External" /><Relationship Type="http://schemas.openxmlformats.org/officeDocument/2006/relationships/hyperlink" Id="rId227" Target="https://doi.org/10.1111/brv.12136" TargetMode="External" /><Relationship Type="http://schemas.openxmlformats.org/officeDocument/2006/relationships/hyperlink" Id="rId62" Target="https://doi.org/10.1111/btp.12010" TargetMode="External" /><Relationship Type="http://schemas.openxmlformats.org/officeDocument/2006/relationships/hyperlink" Id="rId219" Target="https://doi.org/10.1111/btp.12355" TargetMode="External" /><Relationship Type="http://schemas.openxmlformats.org/officeDocument/2006/relationships/hyperlink" Id="rId253" Target="https://doi.org/10.1111/btp.12380" TargetMode="External" /><Relationship Type="http://schemas.openxmlformats.org/officeDocument/2006/relationships/hyperlink" Id="rId225" Target="https://doi.org/10.1111/een.13023" TargetMode="External" /><Relationship Type="http://schemas.openxmlformats.org/officeDocument/2006/relationships/hyperlink" Id="rId187" Target="https://doi.org/10.1111/ele.12399" TargetMode="External" /><Relationship Type="http://schemas.openxmlformats.org/officeDocument/2006/relationships/hyperlink" Id="rId153" Target="https://doi.org/10.1111/ele.13485" TargetMode="External" /><Relationship Type="http://schemas.openxmlformats.org/officeDocument/2006/relationships/hyperlink" Id="rId139" Target="https://doi.org/10.1111/ele.13659" TargetMode="External" /><Relationship Type="http://schemas.openxmlformats.org/officeDocument/2006/relationships/hyperlink" Id="rId251" Target="https://doi.org/10.1111/gcb.14000" TargetMode="External" /><Relationship Type="http://schemas.openxmlformats.org/officeDocument/2006/relationships/hyperlink" Id="rId119" Target="https://doi.org/10.1111/gcb.14413" TargetMode="External" /><Relationship Type="http://schemas.openxmlformats.org/officeDocument/2006/relationships/hyperlink" Id="rId123" Target="https://doi.org/10.1111/gcb.15519" TargetMode="External" /><Relationship Type="http://schemas.openxmlformats.org/officeDocument/2006/relationships/hyperlink" Id="rId127" Target="https://doi.org/10.1111/j.1365-2486.2012.02719.x" TargetMode="External" /><Relationship Type="http://schemas.openxmlformats.org/officeDocument/2006/relationships/hyperlink" Id="rId232" Target="https://doi.org/10.1111/j.1365-2745.2005.01008.x" TargetMode="External" /><Relationship Type="http://schemas.openxmlformats.org/officeDocument/2006/relationships/hyperlink" Id="rId271" Target="https://doi.org/10.1111/j.1461-0248.2005.00851.x" TargetMode="External" /><Relationship Type="http://schemas.openxmlformats.org/officeDocument/2006/relationships/hyperlink" Id="rId201" Target="https://doi.org/10.1111/j.1469-8137.2010.03359.x" TargetMode="External" /><Relationship Type="http://schemas.openxmlformats.org/officeDocument/2006/relationships/hyperlink" Id="rId172" Target="https://doi.org/10.1111/j.1469-8137.2010.03391.x" TargetMode="External" /><Relationship Type="http://schemas.openxmlformats.org/officeDocument/2006/relationships/hyperlink" Id="rId104"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6" Target="https://doi.org/10.1111/j.1744-7429.1999.tb00113.x" TargetMode="External" /><Relationship Type="http://schemas.openxmlformats.org/officeDocument/2006/relationships/hyperlink" Id="rId245" Target="https://doi.org/10.1111/j.1744-7429.2003.tb00278.x" TargetMode="External" /><Relationship Type="http://schemas.openxmlformats.org/officeDocument/2006/relationships/hyperlink" Id="rId114" Target="https://doi.org/10.1111/j.1744-7429.2006.00098.x" TargetMode="External" /><Relationship Type="http://schemas.openxmlformats.org/officeDocument/2006/relationships/hyperlink" Id="rId97" Target="https://doi.org/10.1111/mec.12495" TargetMode="External" /><Relationship Type="http://schemas.openxmlformats.org/officeDocument/2006/relationships/hyperlink" Id="rId168" Target="https://doi.org/10.1111/nph.15110" TargetMode="External" /><Relationship Type="http://schemas.openxmlformats.org/officeDocument/2006/relationships/hyperlink" Id="rId121" Target="https://doi.org/10.1111/nph.17005" TargetMode="External" /><Relationship Type="http://schemas.openxmlformats.org/officeDocument/2006/relationships/hyperlink" Id="rId141" Target="https://doi.org/10.1126/sciadv.1500052" TargetMode="External" /><Relationship Type="http://schemas.openxmlformats.org/officeDocument/2006/relationships/hyperlink" Id="rId54" Target="https://doi.org/10.1126/science.aab1833" TargetMode="External" /><Relationship Type="http://schemas.openxmlformats.org/officeDocument/2006/relationships/hyperlink" Id="rId60" Target="https://doi.org/10.1126/science.aax9387" TargetMode="External" /><Relationship Type="http://schemas.openxmlformats.org/officeDocument/2006/relationships/hyperlink" Id="rId91" Target="https://doi.org/10.1139/x90-084" TargetMode="External" /><Relationship Type="http://schemas.openxmlformats.org/officeDocument/2006/relationships/hyperlink" Id="rId170" Target="https://doi.org/10.1175/2007JCLI1600.1" TargetMode="External" /><Relationship Type="http://schemas.openxmlformats.org/officeDocument/2006/relationships/hyperlink" Id="rId259" Target="https://doi.org/10.1175/2009JCLI2909.1" TargetMode="External" /><Relationship Type="http://schemas.openxmlformats.org/officeDocument/2006/relationships/hyperlink" Id="rId125" Target="https://doi.org/10.1371/journal.pone.0058093" TargetMode="External" /><Relationship Type="http://schemas.openxmlformats.org/officeDocument/2006/relationships/hyperlink" Id="rId206"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98" Target="https://doi.org/10.1673/031.003.3401" TargetMode="External" /><Relationship Type="http://schemas.openxmlformats.org/officeDocument/2006/relationships/hyperlink" Id="rId99" Target="https://doi.org/10.17660/ActaHortic.1995.397.7" TargetMode="External" /><Relationship Type="http://schemas.openxmlformats.org/officeDocument/2006/relationships/hyperlink" Id="rId133"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57"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2" Target="https://doi.org/10.1890/07-0774.1" TargetMode="External" /><Relationship Type="http://schemas.openxmlformats.org/officeDocument/2006/relationships/hyperlink" Id="rId249" Target="https://doi.org/10.1890/09-0785.1" TargetMode="External" /><Relationship Type="http://schemas.openxmlformats.org/officeDocument/2006/relationships/hyperlink" Id="rId247" Target="https://doi.org/10.1890/10-0709.1" TargetMode="External" /><Relationship Type="http://schemas.openxmlformats.org/officeDocument/2006/relationships/hyperlink" Id="rId160" Target="https://doi.org/10.1890/14-0330.1" TargetMode="External" /><Relationship Type="http://schemas.openxmlformats.org/officeDocument/2006/relationships/hyperlink" Id="rId65" Target="https://doi.org/10.2307/1312085" TargetMode="External" /><Relationship Type="http://schemas.openxmlformats.org/officeDocument/2006/relationships/hyperlink" Id="rId236" Target="https://doi.org/10.2307/1934961" TargetMode="External" /><Relationship Type="http://schemas.openxmlformats.org/officeDocument/2006/relationships/hyperlink" Id="rId234" Target="https://doi.org/10.2307/2387865" TargetMode="External" /><Relationship Type="http://schemas.openxmlformats.org/officeDocument/2006/relationships/hyperlink" Id="rId137" Target="https://doi.org/10.2307/2388737" TargetMode="External" /><Relationship Type="http://schemas.openxmlformats.org/officeDocument/2006/relationships/hyperlink" Id="rId89" Target="https://doi.org/10.3732/ajb.92.12.2101" TargetMode="External" /><Relationship Type="http://schemas.openxmlformats.org/officeDocument/2006/relationships/hyperlink" Id="rId149" Target="https://doi.org/10.5194/bg-2021-30" TargetMode="External" /><Relationship Type="http://schemas.openxmlformats.org/officeDocument/2006/relationships/hyperlink" Id="rId209" Target="https://doi.org/10.7717/peerj.9958" TargetMode="External" /><Relationship Type="http://schemas.openxmlformats.org/officeDocument/2006/relationships/hyperlink" Id="rId158"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8" Target="https://CRAN.R-project.org/package=SPEI" TargetMode="External" /><Relationship Type="http://schemas.openxmlformats.org/officeDocument/2006/relationships/hyperlink" Id="rId179" Target="https://doi.org/10.1002/ecs2.1708" TargetMode="External" /><Relationship Type="http://schemas.openxmlformats.org/officeDocument/2006/relationships/hyperlink" Id="rId243" Target="https://doi.org/10.1002/ecy.2163" TargetMode="External" /><Relationship Type="http://schemas.openxmlformats.org/officeDocument/2006/relationships/hyperlink" Id="rId223"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4" Target="https://doi.org/10.1002/joc.4518" TargetMode="External" /><Relationship Type="http://schemas.openxmlformats.org/officeDocument/2006/relationships/hyperlink" Id="rId75" Target="https://doi.org/10.1007/s00442-002-0956-y" TargetMode="External" /><Relationship Type="http://schemas.openxmlformats.org/officeDocument/2006/relationships/hyperlink" Id="rId50" Target="https://doi.org/10.1007/s00442-017-3879-3" TargetMode="External" /><Relationship Type="http://schemas.openxmlformats.org/officeDocument/2006/relationships/hyperlink" Id="rId203" Target="https://doi.org/10.1007/s11240-012-0160-7" TargetMode="External" /><Relationship Type="http://schemas.openxmlformats.org/officeDocument/2006/relationships/hyperlink" Id="rId215" Target="https://doi.org/10.1007/s11258-017-0754-6" TargetMode="External" /><Relationship Type="http://schemas.openxmlformats.org/officeDocument/2006/relationships/hyperlink" Id="rId56" Target="https://doi.org/10.1007/s11284-016-1411-6" TargetMode="External" /><Relationship Type="http://schemas.openxmlformats.org/officeDocument/2006/relationships/hyperlink" Id="rId269"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9" Target="https://doi.org/10.1016/j.biocon.2010.11.015" TargetMode="External" /><Relationship Type="http://schemas.openxmlformats.org/officeDocument/2006/relationships/hyperlink" Id="rId174" Target="https://doi.org/10.1016/j.csda.2011.02.004" TargetMode="External" /><Relationship Type="http://schemas.openxmlformats.org/officeDocument/2006/relationships/hyperlink" Id="rId131" Target="https://doi.org/10.1016/j.ecolmodel.2019.03.007" TargetMode="External" /><Relationship Type="http://schemas.openxmlformats.org/officeDocument/2006/relationships/hyperlink" Id="rId185"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09" Target="https://doi.org/10.1016/j.tree.2013.06.010" TargetMode="External" /><Relationship Type="http://schemas.openxmlformats.org/officeDocument/2006/relationships/hyperlink" Id="rId94" Target="https://doi.org/10.1017/S0266467403001081" TargetMode="External" /><Relationship Type="http://schemas.openxmlformats.org/officeDocument/2006/relationships/hyperlink" Id="rId211" Target="https://doi.org/10.1017/S0266467498000571" TargetMode="External" /><Relationship Type="http://schemas.openxmlformats.org/officeDocument/2006/relationships/hyperlink" Id="rId147" Target="https://doi.org/10.1029/2005GL025583" TargetMode="External" /><Relationship Type="http://schemas.openxmlformats.org/officeDocument/2006/relationships/hyperlink" Id="rId177" Target="https://doi.org/10.1038/19193" TargetMode="External" /><Relationship Type="http://schemas.openxmlformats.org/officeDocument/2006/relationships/hyperlink" Id="rId102"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221" Target="https://doi.org/10.1038/nature23021" TargetMode="External" /><Relationship Type="http://schemas.openxmlformats.org/officeDocument/2006/relationships/hyperlink" Id="rId239" Target="https://doi.org/10.1038/nature25508" TargetMode="External" /><Relationship Type="http://schemas.openxmlformats.org/officeDocument/2006/relationships/hyperlink" Id="rId195" Target="https://doi.org/10.1038/nclimate1934" TargetMode="External" /><Relationship Type="http://schemas.openxmlformats.org/officeDocument/2006/relationships/hyperlink" Id="rId189" Target="https://doi.org/10.1038/nclimate2746" TargetMode="External" /><Relationship Type="http://schemas.openxmlformats.org/officeDocument/2006/relationships/hyperlink" Id="rId229" Target="https://doi.org/10.1038/s41559-020-01368-x" TargetMode="External" /><Relationship Type="http://schemas.openxmlformats.org/officeDocument/2006/relationships/hyperlink" Id="rId217"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145" Target="https://doi.org/10.1046/j.1461-0248.2002.00346.x" TargetMode="External" /><Relationship Type="http://schemas.openxmlformats.org/officeDocument/2006/relationships/hyperlink" Id="rId266" Target="https://doi.org/10.1046/j.1523-1739.2000.99298.x" TargetMode="External" /><Relationship Type="http://schemas.openxmlformats.org/officeDocument/2006/relationships/hyperlink" Id="rId165"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3" Target="https://doi.org/10.1073/pnas.0609048103" TargetMode="External" /><Relationship Type="http://schemas.openxmlformats.org/officeDocument/2006/relationships/hyperlink" Id="rId111" Target="https://doi.org/10.1073/pnas.1421010112" TargetMode="External" /><Relationship Type="http://schemas.openxmlformats.org/officeDocument/2006/relationships/hyperlink" Id="rId52" Target="https://doi.org/10.1073/pnas.1611855114" TargetMode="External" /><Relationship Type="http://schemas.openxmlformats.org/officeDocument/2006/relationships/hyperlink" Id="rId277" Target="https://doi.org/10.1088/1748-9326/3/1/014002" TargetMode="External" /><Relationship Type="http://schemas.openxmlformats.org/officeDocument/2006/relationships/hyperlink" Id="rId151" Target="https://doi.org/10.1088/1748-9326/9/12/124021" TargetMode="External" /><Relationship Type="http://schemas.openxmlformats.org/officeDocument/2006/relationships/hyperlink" Id="rId155" Target="https://doi.org/10.1111/1365-2435.13145" TargetMode="External" /><Relationship Type="http://schemas.openxmlformats.org/officeDocument/2006/relationships/hyperlink" Id="rId192" Target="https://doi.org/10.1111/1365-2656.13467" TargetMode="External" /><Relationship Type="http://schemas.openxmlformats.org/officeDocument/2006/relationships/hyperlink" Id="rId213" Target="https://doi.org/10.1111/1365-2745.12334" TargetMode="External" /><Relationship Type="http://schemas.openxmlformats.org/officeDocument/2006/relationships/hyperlink" Id="rId264" Target="https://doi.org/10.1111/1365-2745.12369" TargetMode="External" /><Relationship Type="http://schemas.openxmlformats.org/officeDocument/2006/relationships/hyperlink" Id="rId116" Target="https://doi.org/10.1111/1365-2745.12523" TargetMode="External" /><Relationship Type="http://schemas.openxmlformats.org/officeDocument/2006/relationships/hyperlink" Id="rId261" Target="https://doi.org/10.1111/1365-2745.12757" TargetMode="External" /><Relationship Type="http://schemas.openxmlformats.org/officeDocument/2006/relationships/hyperlink" Id="rId48" Target="https://doi.org/10.1111/1365-2745.13595" TargetMode="External" /><Relationship Type="http://schemas.openxmlformats.org/officeDocument/2006/relationships/hyperlink" Id="rId143" Target="https://doi.org/10.1111/1749-4877.12167" TargetMode="External" /><Relationship Type="http://schemas.openxmlformats.org/officeDocument/2006/relationships/hyperlink" Id="rId241" Target="https://doi.org/10.1111/2041-210X.12486" TargetMode="External" /><Relationship Type="http://schemas.openxmlformats.org/officeDocument/2006/relationships/hyperlink" Id="rId255" Target="https://doi.org/10.1111/2041-210X.12590" TargetMode="External" /><Relationship Type="http://schemas.openxmlformats.org/officeDocument/2006/relationships/hyperlink" Id="rId135" Target="https://doi.org/10.1111/biom.12645" TargetMode="External" /><Relationship Type="http://schemas.openxmlformats.org/officeDocument/2006/relationships/hyperlink" Id="rId227" Target="https://doi.org/10.1111/brv.12136" TargetMode="External" /><Relationship Type="http://schemas.openxmlformats.org/officeDocument/2006/relationships/hyperlink" Id="rId62" Target="https://doi.org/10.1111/btp.12010" TargetMode="External" /><Relationship Type="http://schemas.openxmlformats.org/officeDocument/2006/relationships/hyperlink" Id="rId219" Target="https://doi.org/10.1111/btp.12355" TargetMode="External" /><Relationship Type="http://schemas.openxmlformats.org/officeDocument/2006/relationships/hyperlink" Id="rId253" Target="https://doi.org/10.1111/btp.12380" TargetMode="External" /><Relationship Type="http://schemas.openxmlformats.org/officeDocument/2006/relationships/hyperlink" Id="rId225" Target="https://doi.org/10.1111/een.13023" TargetMode="External" /><Relationship Type="http://schemas.openxmlformats.org/officeDocument/2006/relationships/hyperlink" Id="rId187" Target="https://doi.org/10.1111/ele.12399" TargetMode="External" /><Relationship Type="http://schemas.openxmlformats.org/officeDocument/2006/relationships/hyperlink" Id="rId153" Target="https://doi.org/10.1111/ele.13485" TargetMode="External" /><Relationship Type="http://schemas.openxmlformats.org/officeDocument/2006/relationships/hyperlink" Id="rId139" Target="https://doi.org/10.1111/ele.13659" TargetMode="External" /><Relationship Type="http://schemas.openxmlformats.org/officeDocument/2006/relationships/hyperlink" Id="rId251" Target="https://doi.org/10.1111/gcb.14000" TargetMode="External" /><Relationship Type="http://schemas.openxmlformats.org/officeDocument/2006/relationships/hyperlink" Id="rId119" Target="https://doi.org/10.1111/gcb.14413" TargetMode="External" /><Relationship Type="http://schemas.openxmlformats.org/officeDocument/2006/relationships/hyperlink" Id="rId123" Target="https://doi.org/10.1111/gcb.15519" TargetMode="External" /><Relationship Type="http://schemas.openxmlformats.org/officeDocument/2006/relationships/hyperlink" Id="rId127" Target="https://doi.org/10.1111/j.1365-2486.2012.02719.x" TargetMode="External" /><Relationship Type="http://schemas.openxmlformats.org/officeDocument/2006/relationships/hyperlink" Id="rId232" Target="https://doi.org/10.1111/j.1365-2745.2005.01008.x" TargetMode="External" /><Relationship Type="http://schemas.openxmlformats.org/officeDocument/2006/relationships/hyperlink" Id="rId271" Target="https://doi.org/10.1111/j.1461-0248.2005.00851.x" TargetMode="External" /><Relationship Type="http://schemas.openxmlformats.org/officeDocument/2006/relationships/hyperlink" Id="rId201" Target="https://doi.org/10.1111/j.1469-8137.2010.03359.x" TargetMode="External" /><Relationship Type="http://schemas.openxmlformats.org/officeDocument/2006/relationships/hyperlink" Id="rId172" Target="https://doi.org/10.1111/j.1469-8137.2010.03391.x" TargetMode="External" /><Relationship Type="http://schemas.openxmlformats.org/officeDocument/2006/relationships/hyperlink" Id="rId104"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6" Target="https://doi.org/10.1111/j.1744-7429.1999.tb00113.x" TargetMode="External" /><Relationship Type="http://schemas.openxmlformats.org/officeDocument/2006/relationships/hyperlink" Id="rId245" Target="https://doi.org/10.1111/j.1744-7429.2003.tb00278.x" TargetMode="External" /><Relationship Type="http://schemas.openxmlformats.org/officeDocument/2006/relationships/hyperlink" Id="rId114" Target="https://doi.org/10.1111/j.1744-7429.2006.00098.x" TargetMode="External" /><Relationship Type="http://schemas.openxmlformats.org/officeDocument/2006/relationships/hyperlink" Id="rId97" Target="https://doi.org/10.1111/mec.12495" TargetMode="External" /><Relationship Type="http://schemas.openxmlformats.org/officeDocument/2006/relationships/hyperlink" Id="rId168" Target="https://doi.org/10.1111/nph.15110" TargetMode="External" /><Relationship Type="http://schemas.openxmlformats.org/officeDocument/2006/relationships/hyperlink" Id="rId121" Target="https://doi.org/10.1111/nph.17005" TargetMode="External" /><Relationship Type="http://schemas.openxmlformats.org/officeDocument/2006/relationships/hyperlink" Id="rId141" Target="https://doi.org/10.1126/sciadv.1500052" TargetMode="External" /><Relationship Type="http://schemas.openxmlformats.org/officeDocument/2006/relationships/hyperlink" Id="rId54" Target="https://doi.org/10.1126/science.aab1833" TargetMode="External" /><Relationship Type="http://schemas.openxmlformats.org/officeDocument/2006/relationships/hyperlink" Id="rId60" Target="https://doi.org/10.1126/science.aax9387" TargetMode="External" /><Relationship Type="http://schemas.openxmlformats.org/officeDocument/2006/relationships/hyperlink" Id="rId91" Target="https://doi.org/10.1139/x90-084" TargetMode="External" /><Relationship Type="http://schemas.openxmlformats.org/officeDocument/2006/relationships/hyperlink" Id="rId170" Target="https://doi.org/10.1175/2007JCLI1600.1" TargetMode="External" /><Relationship Type="http://schemas.openxmlformats.org/officeDocument/2006/relationships/hyperlink" Id="rId259" Target="https://doi.org/10.1175/2009JCLI2909.1" TargetMode="External" /><Relationship Type="http://schemas.openxmlformats.org/officeDocument/2006/relationships/hyperlink" Id="rId125" Target="https://doi.org/10.1371/journal.pone.0058093" TargetMode="External" /><Relationship Type="http://schemas.openxmlformats.org/officeDocument/2006/relationships/hyperlink" Id="rId206"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98" Target="https://doi.org/10.1673/031.003.3401" TargetMode="External" /><Relationship Type="http://schemas.openxmlformats.org/officeDocument/2006/relationships/hyperlink" Id="rId99" Target="https://doi.org/10.17660/ActaHortic.1995.397.7" TargetMode="External" /><Relationship Type="http://schemas.openxmlformats.org/officeDocument/2006/relationships/hyperlink" Id="rId133"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57"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2" Target="https://doi.org/10.1890/07-0774.1" TargetMode="External" /><Relationship Type="http://schemas.openxmlformats.org/officeDocument/2006/relationships/hyperlink" Id="rId249" Target="https://doi.org/10.1890/09-0785.1" TargetMode="External" /><Relationship Type="http://schemas.openxmlformats.org/officeDocument/2006/relationships/hyperlink" Id="rId247" Target="https://doi.org/10.1890/10-0709.1" TargetMode="External" /><Relationship Type="http://schemas.openxmlformats.org/officeDocument/2006/relationships/hyperlink" Id="rId160" Target="https://doi.org/10.1890/14-0330.1" TargetMode="External" /><Relationship Type="http://schemas.openxmlformats.org/officeDocument/2006/relationships/hyperlink" Id="rId65" Target="https://doi.org/10.2307/1312085" TargetMode="External" /><Relationship Type="http://schemas.openxmlformats.org/officeDocument/2006/relationships/hyperlink" Id="rId236" Target="https://doi.org/10.2307/1934961" TargetMode="External" /><Relationship Type="http://schemas.openxmlformats.org/officeDocument/2006/relationships/hyperlink" Id="rId234" Target="https://doi.org/10.2307/2387865" TargetMode="External" /><Relationship Type="http://schemas.openxmlformats.org/officeDocument/2006/relationships/hyperlink" Id="rId137" Target="https://doi.org/10.2307/2388737" TargetMode="External" /><Relationship Type="http://schemas.openxmlformats.org/officeDocument/2006/relationships/hyperlink" Id="rId89" Target="https://doi.org/10.3732/ajb.92.12.2101" TargetMode="External" /><Relationship Type="http://schemas.openxmlformats.org/officeDocument/2006/relationships/hyperlink" Id="rId149" Target="https://doi.org/10.5194/bg-2021-30" TargetMode="External" /><Relationship Type="http://schemas.openxmlformats.org/officeDocument/2006/relationships/hyperlink" Id="rId209" Target="https://doi.org/10.7717/peerj.9958" TargetMode="External" /><Relationship Type="http://schemas.openxmlformats.org/officeDocument/2006/relationships/hyperlink" Id="rId158"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146</Words>
  <Characters>833</Characters>
  <Application>Microsoft Office Word</Application>
  <DocSecurity>0</DocSecurity>
  <Lines>6</Lines>
  <Paragraphs>1</Paragraphs>
  <ScaleCrop>false</ScaleCrop>
  <Company/>
  <LinksUpToDate>false</LinksUpToDate>
  <CharactersWithSpaces>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2021-09-01T18:05:03Z</dcterms:created>
  <dcterms:modified xsi:type="dcterms:W3CDTF">2021-09-01T18:05:03Z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01 September,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