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1.png" ContentType="image/png"/>
  <Override PartName="/word/media/rId39.png" ContentType="image/png"/>
  <Override PartName="/word/media/rId40.png" ContentType="image/png"/>
  <Override PartName="/word/media/rId37.png" ContentType="image/png"/>
  <Override PartName="/word/media/rId35.png" ContentType="image/png"/>
  <Override PartName="/word/media/rId36.png" ContentType="image/png"/>
  <Override PartName="/word/media/rId23.png" ContentType="image/png"/>
  <Override PartName="/word/media/rId33.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01</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w:t>
      </w:r>
      <w:r>
        <w:t xml:space="preserve"> </w:t>
      </w:r>
      <w:r>
        <w:t xml:space="preserve">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w:t>
      </w:r>
      <w:r>
        <w:t xml:space="preserve"> </w:t>
      </w:r>
      <w:r>
        <w:t xml:space="preserve">This is thought to be particularly true in species-rich tropical forests</w:t>
      </w:r>
      <w:r>
        <w:t xml:space="preserve"> </w:t>
      </w:r>
      <w:r>
        <w:t xml:space="preserve">(Didham and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rPr>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w:t>
      </w:r>
      <w:r>
        <w:t xml:space="preserve"> </w:t>
      </w:r>
      <w:r>
        <w:t xml:space="preserve">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w:t>
      </w:r>
      <w:r>
        <w:t xml:space="preserve"> </w:t>
      </w:r>
      <w:r>
        <w:t xml:space="preserve">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w:t>
      </w:r>
      <w:r>
        <w:t xml:space="preserve"> </w:t>
      </w:r>
      <w:r>
        <w:t xml:space="preserve">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Ehrlén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Salguero-Gomez et al. 2015)</w:t>
      </w:r>
      <w:r>
        <w:t xml:space="preserve">.</w:t>
      </w:r>
      <w:r>
        <w:t xml:space="preserve"> </w:t>
      </w:r>
      <w:r>
        <w:t xml:space="preserve">These data are critical not only because they allow for capturing variation in climatic conditions and the resulting demographic responses</w:t>
      </w:r>
      <w:r>
        <w:t xml:space="preserve"> </w:t>
      </w:r>
      <w:r>
        <w:t xml:space="preserve">(Morris and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(Zeng et al. 2008, Marengo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 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
        </w:rPr>
        <w:t xml:space="preserve">Heliconia</w:t>
      </w:r>
      <w:r>
        <w:t xml:space="preserve"> </w:t>
      </w:r>
      <w:r>
        <w:t xml:space="preserve">species grow in large patches along forest edges or in treefall gaps, others—such as</w:t>
      </w:r>
      <w:r>
        <w:t xml:space="preserve"> </w:t>
      </w:r>
      <w:r>
        <w:rPr>
          <w:i/>
        </w:rPr>
        <w:t xml:space="preserve">H. acuminata</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and Kress 1991)</w:t>
      </w:r>
      <w:r>
        <w:t xml:space="preserve">.</w:t>
      </w:r>
      <w:r>
        <w:t xml:space="preserve"> </w:t>
      </w:r>
      <w:r>
        <w:t xml:space="preserve">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extremely rare</w:t>
      </w:r>
      <w:r>
        <w:t xml:space="preserve"> </w:t>
      </w:r>
      <w:r>
        <w:rPr>
          <w:i/>
        </w:rPr>
        <w:t xml:space="preserve">[darrigo 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oMath>
      <w:r>
        <w:t xml:space="preserve"> </w:t>
      </w:r>
      <w:r>
        <w:t xml:space="preserve">=</w:t>
      </w:r>
      <w:r>
        <w:t xml:space="preserve"> </w:t>
      </w:r>
      <w:r>
        <w:rPr>
          <w:b/>
        </w:rPr>
        <w:t xml:space="preserve">1.1</w:t>
      </w:r>
      <w:r>
        <w:t xml:space="preserve"> </w:t>
      </w:r>
      <w:r>
        <w:t xml:space="preserve">flowering shoots (range = 1-7), each of which has an inflorescence with 20–25 flowers</w:t>
      </w:r>
      <w:r>
        <w:t xml:space="preserve"> </w:t>
      </w:r>
      <w:r>
        <w:t xml:space="preserve">(Bruna and Kress 2002)</w:t>
      </w:r>
      <w:r>
        <w:t xml:space="preserve">.</w:t>
      </w:r>
      <w:r>
        <w:t xml:space="preserve"> </w:t>
      </w:r>
      <w:r>
        <w:t xml:space="preserve">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2017a,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2017b)</w:t>
      </w:r>
      <w:r>
        <w:t xml:space="preserve">, TRMM</w:t>
      </w:r>
      <w:r>
        <w:t xml:space="preserve"> </w:t>
      </w:r>
      <w:r>
        <w:t xml:space="preserve">(</w:t>
      </w:r>
      <w:r>
        <w:t xml:space="preserve">“TRMM (TMPA/3B43) rainfall estimate L3 1 month 0.25 degree x 0.25 degree V7”</w:t>
      </w:r>
      <w:r>
        <w:t xml:space="preserve"> </w:t>
      </w:r>
      <w:r>
        <w:t xml:space="preserve">2011)</w:t>
      </w:r>
      <w:r>
        <w:t xml:space="preserve">), though the magnitude of drought can sometimes differ (</w:t>
      </w:r>
      <w:r>
        <w:rPr>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Crossbasis functions were created using the</w:t>
      </w:r>
      <w:r>
        <w:t xml:space="preserve"> </w:t>
      </w:r>
      <w:r>
        <w:rPr>
          <w:i/>
        </w:rPr>
        <w:t xml:space="preserve">dlnm</w:t>
      </w:r>
      <w:r>
        <w:t xml:space="preserve"> </w:t>
      </w:r>
      <w:r>
        <w:t xml:space="preserve">package with possible lags from 0–36 months</w:t>
      </w:r>
      <w:r>
        <w:t xml:space="preserve"> </w:t>
      </w:r>
      <w:r>
        <w:t xml:space="preserve">(Gasparrini 2011, R Core Team 2020)</w:t>
      </w:r>
      <w:r>
        <w:t xml:space="preserve">.</w:t>
      </w:r>
      <w:r>
        <w:t xml:space="preserve"> </w:t>
      </w:r>
      <w:r>
        <w:t xml:space="preserve">We chose 36 months as a maximum lag because prior</w:t>
      </w:r>
      <w:r>
        <w:t xml:space="preserve"> </w:t>
      </w:r>
      <w:r>
        <w:rPr>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w:t>
      </w:r>
      <w:r>
        <w:t xml:space="preserve"> </w:t>
      </w:r>
      <w:r>
        <w:t xml:space="preserve">The crossbasis function was fit to the data in the context of a generalized additive model (GAM) using the</w:t>
      </w:r>
      <w:r>
        <w:t xml:space="preserve"> </w:t>
      </w:r>
      <w:r>
        <w:rPr>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3"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(Zeng et al. 2008, Marengo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4267200"/>
            <wp:effectExtent b="0" l="0" r="0" t="0"/>
            <wp:docPr descr="Figure 3: Smooth effect of plant size in the previous census on survival modeled by a cubic regression spline.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figures/surv-size-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Smooth effect of plant size in the previous census on survival modeled by a cubic regression spline.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8"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CaptionedFigure"/>
      </w:pPr>
      <w:r>
        <w:drawing>
          <wp:inline>
            <wp:extent cx="5334000" cy="4267200"/>
            <wp:effectExtent b="0" l="0" r="0" t="0"/>
            <wp:docPr descr="Figure 6: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 title="" id="1" name="Picture"/>
            <a:graphic>
              <a:graphicData uri="http://schemas.openxmlformats.org/drawingml/2006/picture">
                <pic:pic>
                  <pic:nvPicPr>
                    <pic:cNvPr descr="figures/growth-size-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6</w:t>
      </w:r>
      <w:r>
        <w:t xml:space="preserve">).</w:t>
      </w:r>
    </w:p>
    <w:p>
      <w:pPr>
        <w:pStyle w:val="CaptionedFigure"/>
      </w:pPr>
      <w:r>
        <w:drawing>
          <wp:inline>
            <wp:extent cx="5334000" cy="3810000"/>
            <wp:effectExtent b="0" l="0" r="0" t="0"/>
            <wp:docPr descr="Figure 7: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7</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8: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8: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8</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8"/>
    <w:bookmarkStart w:id="42"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9</w:t>
      </w:r>
      <w:r>
        <w:t xml:space="preserve">).</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CaptionedFigure"/>
      </w:pPr>
      <w:r>
        <w:drawing>
          <wp:inline>
            <wp:extent cx="5334000" cy="4267200"/>
            <wp:effectExtent b="0" l="0" r="0" t="0"/>
            <wp:docPr descr="Figure 9: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figures/flwr-size-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9: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9</w:t>
      </w:r>
      <w:r>
        <w:t xml:space="preserve">).</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overall flowering probability was greater.</w:t>
      </w:r>
      <w:r>
        <w:t xml:space="preserve"> </w:t>
      </w:r>
    </w:p>
    <w:p>
      <w:pPr>
        <w:pStyle w:val="CaptionedFigure"/>
      </w:pPr>
      <w:r>
        <w:drawing>
          <wp:inline>
            <wp:extent cx="5334000" cy="3810000"/>
            <wp:effectExtent b="0" l="0" r="0" t="0"/>
            <wp:docPr descr="Figure 10: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10: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10</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10</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11: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41"/>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11: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11</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2"/>
    <w:bookmarkEnd w:id="43"/>
    <w:bookmarkStart w:id="45" w:name="discussion"/>
    <w:p>
      <w:pPr>
        <w:pStyle w:val="Heading1"/>
      </w:pPr>
      <w:r>
        <w:t xml:space="preserve">Discussion</w:t>
      </w:r>
    </w:p>
    <w:bookmarkStart w:id="44"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w:t>
      </w:r>
      <w:r>
        <w:t xml:space="preserve"> </w:t>
      </w:r>
      <w:r>
        <w:t xml:space="preserve">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
        </w:rPr>
        <w:t xml:space="preserve">Heliconia</w:t>
      </w:r>
      <w:r>
        <w:t xml:space="preserve"> </w:t>
      </w:r>
      <w:r>
        <w:t xml:space="preserve">times reproduction so seeds only germinate at start of rainy season.</w:t>
      </w:r>
    </w:p>
    <w:p>
      <w:pPr>
        <w:numPr>
          <w:ilvl w:val="0"/>
          <w:numId w:val="1002"/>
        </w:numPr>
      </w:pPr>
      <w:r>
        <w:t xml:space="preserve">cite Esteban et al. 2021 for negative effects of large positive SPEI</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 We found evidence for delayed effects of drought which are sometimes stronger predictors of vital rates than more recent conditions. 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 Flowering probability for the largest plants is actually higher in forest fragments; however, because there are fewer large plants in fragments overall flowering probability is much lower. The average fitted probability of flowering for plants in the upper quartile for size is 0.125 in continuous forest and 0.094 in forest fragments, equivalent to flowering once every 7.97 years and 10.63 years, respectively. 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 It is possible that increases in temperature, evaporative drying, wind speed, and solar radiation commonly found near forest edges exacerbated the effects of extremes in SPEI on</w:t>
      </w:r>
      <w:r>
        <w:t xml:space="preserve"> </w:t>
      </w:r>
      <w:r>
        <w:rPr>
          <w:i/>
        </w:rPr>
        <w:t xml:space="preserve">H. acuminata</w:t>
      </w:r>
      <w:r>
        <w:t xml:space="preserve"> </w:t>
      </w:r>
      <w:r>
        <w:t xml:space="preserve">growth and survival in fragments compared to continuous forest. It is also possible that the microclimate experienced by plants in continuous forest plots was simply more stable compared to that of 1 ha fragments. Bruna et al.</w:t>
      </w:r>
      <w:r>
        <w:t xml:space="preserve"> </w:t>
      </w:r>
      <w:r>
        <w:t xml:space="preserve">(2002)</w:t>
      </w:r>
      <w:r>
        <w:t xml:space="preserve"> </w:t>
      </w:r>
      <w:r>
        <w:t xml:space="preserve">found that the growth of transplanted</w:t>
      </w:r>
      <w:r>
        <w:t xml:space="preserve"> </w:t>
      </w:r>
      <w:r>
        <w:rPr>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7</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10</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
        </w:rPr>
        <w:t xml:space="preserve">H. acuminata</w:t>
      </w:r>
      <w:r>
        <w:t xml:space="preserve">, the initiation of a primordial flowering shoot</w:t>
      </w:r>
      <w:r>
        <w:t xml:space="preserve"> </w:t>
      </w:r>
      <w:r>
        <w:t xml:space="preserve"> </w:t>
      </w:r>
      <w:r>
        <w:t xml:space="preserve">likely happens many months earlier. 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w:t>
      </w:r>
      <w:r>
        <w:t xml:space="preserve">).</w:t>
      </w:r>
      <w:r>
        <w:t xml:space="preserve"> </w:t>
      </w: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r>
        <w:t xml:space="preserve"> </w:t>
      </w:r>
      <w:r>
        <w:t xml:space="preserve">This increase in light could then result in increased growth or flowering for understory plants (</w:t>
      </w:r>
      <w:r>
        <w:t xml:space="preserve"> </w:t>
      </w:r>
      <w:r>
        <w:t xml:space="preserve">).</w:t>
      </w:r>
      <w:r>
        <w:t xml:space="preserve"> </w:t>
      </w:r>
      <w:r>
        <w:t xml:space="preserve">Here, the delayed effect could be a combined delay of the response of canopy trees to drought and the response of</w:t>
      </w:r>
      <w:r>
        <w:t xml:space="preserve"> </w:t>
      </w:r>
      <w:r>
        <w:rPr>
          <w:i/>
        </w:rPr>
        <w:t xml:space="preserve">H. acuminata</w:t>
      </w:r>
      <w:r>
        <w:t xml:space="preserve"> </w:t>
      </w:r>
      <w:r>
        <w:t xml:space="preserve">to increased insolation.</w:t>
      </w:r>
    </w:p>
    <w:p>
      <w:pPr>
        <w:numPr>
          <w:ilvl w:val="0"/>
          <w:numId w:val="1004"/>
        </w:numPr>
        <w:pStyle w:val="Compact"/>
      </w:pPr>
      <w:r>
        <w:t xml:space="preserve">Ecological Consequences of these patterns: an eye towards a drier/wetter future</w:t>
      </w:r>
    </w:p>
    <w:bookmarkEnd w:id="44"/>
    <w:bookmarkEnd w:id="45"/>
    <w:bookmarkStart w:id="46"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Looop back to: need whole-life-cycle approach to ID these effects, why fragmentologists don’t do this is killing Emilio.</w:t>
      </w:r>
    </w:p>
    <w:bookmarkEnd w:id="46"/>
    <w:bookmarkStart w:id="47"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7"/>
    <w:bookmarkStart w:id="137" w:name="references"/>
    <w:p>
      <w:pPr>
        <w:pStyle w:val="Heading1"/>
      </w:pPr>
      <w:r>
        <w:t xml:space="preserve">References</w:t>
      </w:r>
    </w:p>
    <w:bookmarkStart w:id="135" w:name="refs"/>
    <w:bookmarkStart w:id="48"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8"/>
    <w:bookmarkStart w:id="49"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9"/>
    <w:bookmarkStart w:id="50" w:name="ref-barton2020"/>
    <w:p>
      <w:pPr>
        <w:pStyle w:val="Bibliography"/>
      </w:pPr>
      <w:r>
        <w:t xml:space="preserve">Barton, K. E., and A. B. Shiels. 2020. Additive and non-additive responses of seedlings to simulated herbivory and drought. Biotropica 52:1217–1228.</w:t>
      </w:r>
    </w:p>
    <w:bookmarkEnd w:id="50"/>
    <w:bookmarkStart w:id="51" w:name="X4f292b35ec6e53ec09c49b3d551dc718e6b780b"/>
    <w:p>
      <w:pPr>
        <w:pStyle w:val="Bibliography"/>
      </w:pPr>
      <w:r>
        <w:t xml:space="preserve">Beguería, S. 2017a. Sbegueria/SPEIbase: Version 2.5.1. Zenodo.</w:t>
      </w:r>
    </w:p>
    <w:bookmarkEnd w:id="51"/>
    <w:bookmarkStart w:id="52" w:name="ref-begueriaSbegueriaSPEIbaseVersion2017"/>
    <w:p>
      <w:pPr>
        <w:pStyle w:val="Bibliography"/>
      </w:pPr>
      <w:r>
        <w:t xml:space="preserve">Beguería, S. 2017b, July. Sbegueria/</w:t>
      </w:r>
      <w:r>
        <w:t xml:space="preserve">SPEIbase</w:t>
      </w:r>
      <w:r>
        <w:t xml:space="preserve">:</w:t>
      </w:r>
      <w:r>
        <w:t xml:space="preserve"> </w:t>
      </w:r>
      <w:r>
        <w:t xml:space="preserve">Version</w:t>
      </w:r>
      <w:r>
        <w:t xml:space="preserve"> </w:t>
      </w:r>
      <w:r>
        <w:t xml:space="preserve">2.5.1. Zenodo.</w:t>
      </w:r>
    </w:p>
    <w:bookmarkEnd w:id="52"/>
    <w:bookmarkStart w:id="53" w:name="X342970152a43d986528d8f706002c6994202cb8"/>
    <w:p>
      <w:pPr>
        <w:pStyle w:val="Bibliography"/>
      </w:pPr>
      <w:r>
        <w:t xml:space="preserve">Berry, F., and W. J. Kress. 1991. Heliconia: An identification guide.</w:t>
      </w:r>
      <w:r>
        <w:t xml:space="preserve"> </w:t>
      </w:r>
      <w:r>
        <w:t xml:space="preserve">Smithsonian Institution Press</w:t>
      </w:r>
      <w:r>
        <w:t xml:space="preserve">,</w:t>
      </w:r>
      <w:r>
        <w:t xml:space="preserve"> </w:t>
      </w:r>
      <w:r>
        <w:t xml:space="preserve">Washington D.C., USA</w:t>
      </w:r>
      <w:r>
        <w:t xml:space="preserve">.</w:t>
      </w:r>
    </w:p>
    <w:bookmarkEnd w:id="53"/>
    <w:bookmarkStart w:id="54"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4"/>
    <w:bookmarkStart w:id="55"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55"/>
    <w:bookmarkStart w:id="56" w:name="ref-bonal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6"/>
    <w:bookmarkStart w:id="57"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7"/>
    <w:bookmarkStart w:id="58" w:name="ref-brodieClimateChangeTropical2012"/>
    <w:p>
      <w:pPr>
        <w:pStyle w:val="Bibliography"/>
      </w:pPr>
      <w:r>
        <w:t xml:space="preserve">Brodie, J., E. Post, and W. F. Laurance. 2012. Climate change and tropical biodiversity: A new focus. Trends in Ecology &amp; Evolution 27:145–150.</w:t>
      </w:r>
    </w:p>
    <w:bookmarkEnd w:id="58"/>
    <w:bookmarkStart w:id="59" w:name="ref-brunaSeedGerminationRainforest1999"/>
    <w:p>
      <w:pPr>
        <w:pStyle w:val="Bibliography"/>
      </w:pPr>
      <w:r>
        <w:t xml:space="preserve">Bruna, E. M. 1999. Seed germination in rainforest fragments. Nature 402:139.</w:t>
      </w:r>
    </w:p>
    <w:bookmarkEnd w:id="59"/>
    <w:bookmarkStart w:id="60" w:name="ref-brunaEffectsForestFragmentation2002"/>
    <w:p>
      <w:pPr>
        <w:pStyle w:val="Bibliography"/>
      </w:pPr>
      <w:r>
        <w:t xml:space="preserve">Bruna, E. M. 2002. Effects of forest fragmentation on Heliconia acuminata seedling recruitment in central Amazonia. Oecologia 132:235–243.</w:t>
      </w:r>
    </w:p>
    <w:bookmarkEnd w:id="60"/>
    <w:bookmarkStart w:id="61"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61"/>
    <w:bookmarkStart w:id="62" w:name="X978da2346625177c73089ae35bff8246b4e8ad6"/>
    <w:p>
      <w:pPr>
        <w:pStyle w:val="Bibliography"/>
      </w:pPr>
      <w:r>
        <w:t xml:space="preserve">Bruna, E. M., and W. J. Kress. 2002. Habitat</w:t>
      </w:r>
      <w:r>
        <w:t xml:space="preserve"> </w:t>
      </w:r>
      <w:r>
        <w:t xml:space="preserve">Fragmentation</w:t>
      </w:r>
      <w:r>
        <w:t xml:space="preserve"> </w:t>
      </w:r>
      <w:r>
        <w:t xml:space="preserve">and the</w:t>
      </w:r>
      <w:r>
        <w:t xml:space="preserve"> </w:t>
      </w:r>
      <w:r>
        <w:t xml:space="preserve">Demographic Structure</w:t>
      </w:r>
      <w:r>
        <w:t xml:space="preserve"> </w:t>
      </w:r>
      <w:r>
        <w:t xml:space="preserve">of an</w:t>
      </w:r>
      <w:r>
        <w:t xml:space="preserve"> </w:t>
      </w:r>
      <w:r>
        <w:t xml:space="preserve">Amazonian Understory Herb</w:t>
      </w:r>
      <w:r>
        <w:t xml:space="preserve"> </w:t>
      </w:r>
      <w:r>
        <w:t xml:space="preserve">(</w:t>
      </w:r>
      <w:r>
        <w:t xml:space="preserve">Heliconia</w:t>
      </w:r>
      <w:r>
        <w:t xml:space="preserve"> </w:t>
      </w:r>
      <w:r>
        <w:t xml:space="preserve">acuminata). Conservation Biology 16:1256–1266.</w:t>
      </w:r>
    </w:p>
    <w:bookmarkEnd w:id="62"/>
    <w:bookmarkStart w:id="63" w:name="X11841c3d6dcef81abc5bd4b879b01b5a9b04cf7"/>
    <w:p>
      <w:pPr>
        <w:pStyle w:val="Bibliography"/>
      </w:pPr>
      <w:r>
        <w:t xml:space="preserve">Bruna, E. M., W. J. Kress, F. Marques, and O. F. da Silva. 2004. Heliconia acuminata reproductive success is independent of local floral density. Acta Amazonica 34:467–471.</w:t>
      </w:r>
    </w:p>
    <w:bookmarkEnd w:id="63"/>
    <w:bookmarkStart w:id="64"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Ecology:11.</w:t>
      </w:r>
    </w:p>
    <w:bookmarkEnd w:id="64"/>
    <w:bookmarkStart w:id="65" w:name="ref-brunaDemographicEffectsHabitat2005"/>
    <w:p>
      <w:pPr>
        <w:pStyle w:val="Bibliography"/>
      </w:pPr>
      <w:r>
        <w:t xml:space="preserve">Bruna, E. M., and M. K. Oli. 2005. Demographic effects of habitat fragmentation on a tropical herb: life-table response experiments. Ecology 86:1816–1824.</w:t>
      </w:r>
    </w:p>
    <w:bookmarkEnd w:id="65"/>
    <w:bookmarkStart w:id="66"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 El Niño events due to greenhouse warming. Nature Climate Change 4:111–116.</w:t>
      </w:r>
    </w:p>
    <w:bookmarkEnd w:id="66"/>
    <w:bookmarkStart w:id="67" w:name="ref-cortes2013"/>
    <w:p>
      <w:pPr>
        <w:pStyle w:val="Bibliography"/>
      </w:pPr>
      <w:r>
        <w:t xml:space="preserve">Cortes, M., M. Uriarte, M. Lemes, R. Gribel, W. J. Kress, P. E. Smouse, and E. M. Bruna. 2013. Low plant density enhances gene dispersal in the amazonian understory herb</w:t>
      </w:r>
      <w:r>
        <w:t xml:space="preserve"> </w:t>
      </w:r>
      <w:r>
        <w:rPr>
          <w:i/>
        </w:rPr>
        <w:t xml:space="preserve">Heliconia acuminata</w:t>
      </w:r>
      <w:r>
        <w:t xml:space="preserve">. Molecular Ecology 22:5716–5729.</w:t>
      </w:r>
    </w:p>
    <w:bookmarkEnd w:id="67"/>
    <w:bookmarkStart w:id="68" w:name="ref-criley1994"/>
    <w:p>
      <w:pPr>
        <w:pStyle w:val="Bibliography"/>
      </w:pPr>
      <w:r>
        <w:t xml:space="preserve">Criley, R., and S. Lekawatana. 1994. Year around production with high yields may be a possibility for heliconia chartacea. Acta Horticulturae 397:95102.</w:t>
      </w:r>
    </w:p>
    <w:bookmarkEnd w:id="68"/>
    <w:bookmarkStart w:id="69"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9"/>
    <w:bookmarkStart w:id="70" w:name="X48139e4cc1dc94a4ee4ffab594766423fb00579"/>
    <w:p>
      <w:pPr>
        <w:pStyle w:val="Bibliography"/>
      </w:pPr>
      <w:r>
        <w:t xml:space="preserve">Didham, R. K., V. Kapos, and R. M. Ewers. 2012. Rethinking the conceptual foundations of habitat fragmentation research. Oikos 121:161–170.</w:t>
      </w:r>
    </w:p>
    <w:bookmarkEnd w:id="70"/>
    <w:bookmarkStart w:id="71"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71"/>
    <w:bookmarkStart w:id="72" w:name="ref-dowd2020"/>
    <w:p>
      <w:pPr>
        <w:pStyle w:val="Bibliography"/>
      </w:pPr>
      <w:r>
        <w:t xml:space="preserve">Dowd, C. E. 2020, May.</w:t>
      </w:r>
      <w:r>
        <w:t xml:space="preserve"> </w:t>
      </w:r>
      <w:r>
        <w:t xml:space="preserve">Investigating synergistic effects of climate and land-use change on the pollination of a tropical plant, Heliconia tortuosa</w:t>
      </w:r>
      <w:r>
        <w:t xml:space="preserve">. PhD thesis, Oregon State University.</w:t>
      </w:r>
    </w:p>
    <w:bookmarkEnd w:id="72"/>
    <w:bookmarkStart w:id="73"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3"/>
    <w:bookmarkStart w:id="74" w:name="Xf3dd42a23505af3f9cbf10a3864e2077941e80e"/>
    <w:p>
      <w:pPr>
        <w:pStyle w:val="Bibliography"/>
      </w:pPr>
      <w:r>
        <w:t xml:space="preserve">Ehrlén, J., W. F. Morris, T. von Euler, and J. P. Dahlgren. 2016. Advancing environmentally explicit structured population models of plants. Journal of Ecology 104:292–305.</w:t>
      </w:r>
    </w:p>
    <w:bookmarkEnd w:id="74"/>
    <w:bookmarkStart w:id="75"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5"/>
    <w:bookmarkStart w:id="76" w:name="X2c0574c19ecb88ad79c97e711ad3aa776095451"/>
    <w:p>
      <w:pPr>
        <w:pStyle w:val="Bibliography"/>
      </w:pPr>
      <w:r>
        <w:t xml:space="preserve">Ewers, R. M., and C. Banks-Leite. 2013. Fragmentation Impairs the Microclimate Buffering Effect of Tropical Forests. PLoS ONE 8:e58093.</w:t>
      </w:r>
    </w:p>
    <w:bookmarkEnd w:id="76"/>
    <w:bookmarkStart w:id="77"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7"/>
    <w:bookmarkStart w:id="78"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 The Package</w:t>
      </w:r>
      <w:r>
        <w:t xml:space="preserve"> </w:t>
      </w:r>
      <w:r>
        <w:rPr>
          <w:b/>
        </w:rPr>
        <w:t xml:space="preserve">dlnm</w:t>
      </w:r>
      <w:r>
        <w:t xml:space="preserve">. Journal of Statistical Software 43.</w:t>
      </w:r>
    </w:p>
    <w:bookmarkEnd w:id="78"/>
    <w:bookmarkStart w:id="79" w:name="Xe414970ea21d8c849b2c097e43269a43386b2c2"/>
    <w:p>
      <w:pPr>
        <w:pStyle w:val="Bibliography"/>
      </w:pPr>
      <w:r>
        <w:t xml:space="preserve">Gasparrini, A., F. Scheipl, B. Armstrong, and M. G. Kenward. 2017. A penalized framework for distributed lag non-linear models: Penalized DLNMs. Biometrics 73:938–948.</w:t>
      </w:r>
    </w:p>
    <w:bookmarkEnd w:id="79"/>
    <w:bookmarkStart w:id="80" w:name="X9bc2a26956cae18881b5fa2ea3af9548e950f86"/>
    <w:p>
      <w:pPr>
        <w:pStyle w:val="Bibliography"/>
      </w:pPr>
      <w:r>
        <w:t xml:space="preserve">Gentry, A. H., and C. Dodson. 1987. Contribution of nontrees to species richness of a tropical rain forest. Biotropica 19:149–156.</w:t>
      </w:r>
    </w:p>
    <w:bookmarkEnd w:id="80"/>
    <w:bookmarkStart w:id="81"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81"/>
    <w:bookmarkStart w:id="82"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2"/>
    <w:bookmarkStart w:id="83" w:name="ref-he1996"/>
    <w:p>
      <w:pPr>
        <w:pStyle w:val="Bibliography"/>
      </w:pPr>
      <w:r>
        <w:t xml:space="preserve">He, J., C. W. Chee, and C. J. Goh. 1996.</w:t>
      </w:r>
      <w:r>
        <w:t xml:space="preserve"> </w:t>
      </w:r>
      <w:r>
        <w:t xml:space="preserve">‘</w:t>
      </w:r>
      <w:r>
        <w:t xml:space="preserve">Photoinhibition</w:t>
      </w:r>
      <w:r>
        <w:t xml:space="preserve">’</w:t>
      </w:r>
      <w:r>
        <w:t xml:space="preserve"> </w:t>
      </w:r>
      <w:r>
        <w:t xml:space="preserve">of Heliconia under natural tropical conditions: the importance of leaf orientation for light interception and leaf temperature. Plant, Cell &amp; Environment 19:1238–1248.</w:t>
      </w:r>
    </w:p>
    <w:bookmarkEnd w:id="83"/>
    <w:bookmarkStart w:id="84" w:name="ref-horvitz1988"/>
    <w:p>
      <w:pPr>
        <w:pStyle w:val="Bibliography"/>
      </w:pPr>
      <w:r>
        <w:t xml:space="preserve">Horvitz, C. C., and D. W. Schemske. 1988. Demographic Cost of Reproduction in a Neotropical Herb: An Experimental Field Study. Ecology 69:1741–1745.</w:t>
      </w:r>
    </w:p>
    <w:bookmarkEnd w:id="84"/>
    <w:bookmarkStart w:id="85" w:name="ref-horvitz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5"/>
    <w:bookmarkStart w:id="86"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6"/>
    <w:bookmarkStart w:id="87" w:name="ref-klimesova2018"/>
    <w:p>
      <w:pPr>
        <w:pStyle w:val="Bibliography"/>
      </w:pPr>
      <w:r>
        <w:t xml:space="preserve">Klimešová, J., J. Martínková, and G. Ottaviani. 2018. Belowground plant functional ecology: Towards an integrated perspective. Functional Ecology 32:2115–2126.</w:t>
      </w:r>
    </w:p>
    <w:bookmarkEnd w:id="87"/>
    <w:bookmarkStart w:id="88" w:name="Xce5a62b2f280cb1a4a43ff99388095d7a62a7a8"/>
    <w:p>
      <w:pPr>
        <w:pStyle w:val="Bibliography"/>
      </w:pPr>
      <w:r>
        <w:t xml:space="preserve">Kress, J. 1990. The diversity and distribution of</w:t>
      </w:r>
      <w:r>
        <w:t xml:space="preserve"> </w:t>
      </w:r>
      <w: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8"/>
    <w:bookmarkStart w:id="89" w:name="X9f61dec938fe8e6e39f980058ee27353eed1aa7"/>
    <w:p>
      <w:pPr>
        <w:pStyle w:val="Bibliography"/>
      </w:pPr>
      <w:r>
        <w:t xml:space="preserve">Kress, W. J. 1983. Self-incompatibility systems in</w:t>
      </w:r>
      <w:r>
        <w:t xml:space="preserve"> </w:t>
      </w:r>
      <w:r>
        <w:t xml:space="preserve">Central American Heliconia</w:t>
      </w:r>
      <w:r>
        <w:t xml:space="preserve">. Evolution 37:735–744.</w:t>
      </w:r>
    </w:p>
    <w:bookmarkEnd w:id="89"/>
    <w:bookmarkStart w:id="90"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90"/>
    <w:bookmarkStart w:id="91" w:name="ref-lauranceEffectsStrongDrought2001"/>
    <w:p>
      <w:pPr>
        <w:pStyle w:val="Bibliography"/>
      </w:pPr>
      <w:r>
        <w:t xml:space="preserve">Laurance, W. F., G. B. Williamson, P. Delamônica, A. Oliveira, T. E. Lovejoy, C. Gascon, and L. Pohl. 2001. Effects of a Strong Drought on Amazonian Forest Fragments and Edges. Journal of Tropical Ecology 17:771–785.</w:t>
      </w:r>
    </w:p>
    <w:bookmarkEnd w:id="91"/>
    <w:bookmarkStart w:id="92" w:name="ref-malhiClimateChangeDeforestation2008"/>
    <w:p>
      <w:pPr>
        <w:pStyle w:val="Bibliography"/>
      </w:pPr>
      <w:r>
        <w:t xml:space="preserve">Malhi, Y., J. T. Roberts, R. A. Betts, T. J. Killeen, W. Li, and C. A. Nobre. 2008. Climate</w:t>
      </w:r>
      <w:r>
        <w:t xml:space="preserve"> </w:t>
      </w:r>
      <w:r>
        <w:t xml:space="preserve">Change</w:t>
      </w:r>
      <w:r>
        <w:t xml:space="preserve">,</w:t>
      </w:r>
      <w:r>
        <w:t xml:space="preserve"> </w:t>
      </w:r>
      <w:r>
        <w:t xml:space="preserve">Deforestation</w:t>
      </w:r>
      <w:r>
        <w:t xml:space="preserve">, and the</w:t>
      </w:r>
      <w:r>
        <w:t xml:space="preserve"> </w:t>
      </w:r>
      <w:r>
        <w:t xml:space="preserve">Fate</w:t>
      </w:r>
      <w:r>
        <w:t xml:space="preserve"> </w:t>
      </w:r>
      <w:r>
        <w:t xml:space="preserve">of the</w:t>
      </w:r>
      <w:r>
        <w:t xml:space="preserve"> </w:t>
      </w:r>
      <w:r>
        <w:t xml:space="preserve">Amazon</w:t>
      </w:r>
      <w:r>
        <w:t xml:space="preserve">. Science 319:169–172.</w:t>
      </w:r>
    </w:p>
    <w:bookmarkEnd w:id="92"/>
    <w:bookmarkStart w:id="93" w:name="ref-marengoDroughtAmazonia20052008"/>
    <w:p>
      <w:pPr>
        <w:pStyle w:val="Bibliography"/>
      </w:pPr>
      <w:r>
        <w:t xml:space="preserve">Marengo, J. A., C. A. Nobre, J. Tomasella, M. D. Oyama, G. Sampaio de Oliveira, R. de Oliveira, H. Camargo, L. M. Alves, and I. F. Brown. 2008. The Drought of Amazonia in 2005. Journal of Climate 21:495–516.</w:t>
      </w:r>
    </w:p>
    <w:bookmarkEnd w:id="93"/>
    <w:bookmarkStart w:id="94" w:name="ref-marraPracticalVariableSelection2011"/>
    <w:p>
      <w:pPr>
        <w:pStyle w:val="Bibliography"/>
      </w:pPr>
      <w:r>
        <w:t xml:space="preserve">Marra, G., and S. N. Wood. 2011. Practical variable selection for generalized additive models. Computational Statistics &amp; Data Analysis 55:2372–2387.</w:t>
      </w:r>
    </w:p>
    <w:bookmarkEnd w:id="94"/>
    <w:bookmarkStart w:id="95" w:name="Xf94773ba59d65977147047af608c27f573b17bd"/>
    <w:p>
      <w:pPr>
        <w:pStyle w:val="Bibliography"/>
      </w:pPr>
      <w:r>
        <w:t xml:space="preserve">McKee, T. B., N. J. Doesken, and J. Kleist. 1993. The</w:t>
      </w:r>
      <w:r>
        <w:t xml:space="preserve"> </w:t>
      </w:r>
      <w:r>
        <w:t xml:space="preserve">Relationship</w:t>
      </w:r>
      <w:r>
        <w:t xml:space="preserve"> </w:t>
      </w:r>
      <w:r>
        <w:t xml:space="preserve">of</w:t>
      </w:r>
      <w:r>
        <w:t xml:space="preserve"> </w:t>
      </w:r>
      <w:r>
        <w:t xml:space="preserve">Drought Frequency</w:t>
      </w:r>
      <w:r>
        <w:t xml:space="preserve"> </w:t>
      </w:r>
      <w:r>
        <w:t xml:space="preserve">and</w:t>
      </w:r>
      <w:r>
        <w:t xml:space="preserve"> </w:t>
      </w:r>
      <w:r>
        <w:t xml:space="preserve">Duration</w:t>
      </w:r>
      <w:r>
        <w:t xml:space="preserve"> </w:t>
      </w:r>
      <w:r>
        <w:t xml:space="preserve">to</w:t>
      </w:r>
      <w:r>
        <w:t xml:space="preserve"> </w:t>
      </w:r>
      <w:r>
        <w:t xml:space="preserve">Time Scales</w:t>
      </w:r>
      <w:r>
        <w:t xml:space="preserve">.</w:t>
      </w:r>
    </w:p>
    <w:bookmarkEnd w:id="95"/>
    <w:bookmarkStart w:id="96" w:name="ref-mcphadenChildProdigy1997981999"/>
    <w:p>
      <w:pPr>
        <w:pStyle w:val="Bibliography"/>
      </w:pPr>
      <w:r>
        <w:t xml:space="preserve">McPhaden, M. J. 1999. The child prodigy of 1997-98. Nature 398:559–561.</w:t>
      </w:r>
    </w:p>
    <w:bookmarkEnd w:id="96"/>
    <w:bookmarkStart w:id="97"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7"/>
    <w:bookmarkStart w:id="98"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8"/>
    <w:bookmarkStart w:id="99" w:name="ref-mulkey1991"/>
    <w:p>
      <w:pPr>
        <w:pStyle w:val="Bibliography"/>
      </w:pPr>
      <w:r>
        <w:t xml:space="preserve">Mulkey, S. S., A. P. Smith, and S. J. Wright. 1991. Comparative life history and physiology of two understory Neotropical herbs. Oecologia 88:263–273.</w:t>
      </w:r>
    </w:p>
    <w:bookmarkEnd w:id="99"/>
    <w:bookmarkStart w:id="100" w:name="ref-mulkey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Springer US, Boston, MA.</w:t>
      </w:r>
    </w:p>
    <w:bookmarkEnd w:id="100"/>
    <w:bookmarkStart w:id="101" w:name="Xcba87c4d0d66a0034e8f1ed3082be1bfaa9b26c"/>
    <w:p>
      <w:pPr>
        <w:pStyle w:val="Bibliography"/>
      </w:pPr>
      <w:r>
        <w:t xml:space="preserve">Nakazono, E. M., E. M. Bruna, and R. C. G. Mesquita. 2004. Experiemental harvesting of the non-timber forest product</w:t>
      </w:r>
      <w:r>
        <w:t xml:space="preserve"> </w:t>
      </w:r>
      <w:r>
        <w:t xml:space="preserve">Ischnosiphon</w:t>
      </w:r>
      <w:r>
        <w:t xml:space="preserve"> </w:t>
      </w:r>
      <w:r>
        <w:t xml:space="preserve">polyphyllus in central</w:t>
      </w:r>
      <w:r>
        <w:t xml:space="preserve"> </w:t>
      </w:r>
      <w:r>
        <w:t xml:space="preserve">Amazonia</w:t>
      </w:r>
      <w:r>
        <w:t xml:space="preserve">. Forest Ecology and Management 190:219–225.</w:t>
      </w:r>
    </w:p>
    <w:bookmarkEnd w:id="101"/>
    <w:bookmarkStart w:id="102" w:name="ref-nihadRelationshipStressFlowering2018"/>
    <w:p>
      <w:pPr>
        <w:pStyle w:val="Bibliography"/>
      </w:pPr>
      <w:r>
        <w:t xml:space="preserve">Nihad, K., V. Krishnakumar, and V. L. Sheela. 2018. Relationship between</w:t>
      </w:r>
      <w:r>
        <w:t xml:space="preserve"> </w:t>
      </w:r>
      <w:r>
        <w:t xml:space="preserve">Stress</w:t>
      </w:r>
      <w:r>
        <w:t xml:space="preserve"> </w:t>
      </w:r>
      <w:r>
        <w:t xml:space="preserve">and</w:t>
      </w:r>
      <w:r>
        <w:t xml:space="preserve"> </w:t>
      </w:r>
      <w:r>
        <w:t xml:space="preserve">Flowering</w:t>
      </w:r>
      <w:r>
        <w:t xml:space="preserve"> </w:t>
      </w:r>
      <w:r>
        <w:t xml:space="preserve">in</w:t>
      </w:r>
      <w:r>
        <w:t xml:space="preserve"> </w:t>
      </w:r>
      <w:r>
        <w:t xml:space="preserve">Heliconia</w:t>
      </w:r>
      <w:r>
        <w:t xml:space="preserve"> </w:t>
      </w:r>
      <w:r>
        <w:t xml:space="preserve">(</w:t>
      </w:r>
      <w:r>
        <w:t xml:space="preserve">Heliconia Stricta</w:t>
      </w:r>
      <w:r>
        <w:t xml:space="preserve">). International Journal of Agriculture Sciences(IJAS) 10:5137.</w:t>
      </w:r>
    </w:p>
    <w:bookmarkEnd w:id="102"/>
    <w:bookmarkStart w:id="103" w:name="ref-ogleQuantifyingEcologicalMemory2015a"/>
    <w:p>
      <w:pPr>
        <w:pStyle w:val="Bibliography"/>
      </w:pPr>
      <w:r>
        <w:t xml:space="preserve">Ogle, K., J. J. Barber, G. A. Barron-Gafford, L. P. Bentley, J. M. Young, T. E. Huxman, M. E. Loik, and D. T. Tissue. 2015. Quantifying ecological memory in plant and ecosystem processes. Ecology Letters 18:221–235.</w:t>
      </w:r>
    </w:p>
    <w:bookmarkEnd w:id="103"/>
    <w:bookmarkStart w:id="104"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4"/>
    <w:bookmarkStart w:id="105" w:name="ref-pinheiro2021"/>
    <w:p>
      <w:pPr>
        <w:pStyle w:val="Bibliography"/>
      </w:pPr>
      <w:r>
        <w:t xml:space="preserve">Pinheiro, A. M., D. M. Silva Matos, W. Dawson, and R. O. Xavier. 2021. Effect of rhizome exposure to contrasting abiotic conditions on the performance of the invasive macrophyte Hedychium coronarium J. Koenig (Zingiberaceae). Plant Ecology 222:375–385.</w:t>
      </w:r>
    </w:p>
    <w:bookmarkEnd w:id="105"/>
    <w:bookmarkStart w:id="106" w:name="X7b3c79bfb7654af1f4b03dba64dad1a6765c972"/>
    <w:p>
      <w:pPr>
        <w:pStyle w:val="Bibliography"/>
      </w:pPr>
      <w:r>
        <w:t xml:space="preserve">R Core Team. 2020. R: A language and environment for statistical computing. Vienna, Austria.</w:t>
      </w:r>
    </w:p>
    <w:bookmarkEnd w:id="106"/>
    <w:bookmarkStart w:id="107"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7"/>
    <w:bookmarkStart w:id="108" w:name="Xb12eb3ae74cee1ee3c7d5e9cc24057fb72a1f52"/>
    <w:p>
      <w:pPr>
        <w:pStyle w:val="Bibliography"/>
      </w:pPr>
      <w:r>
        <w:t xml:space="preserve">Ribeiro, M. B. N., E. M. Bruna, and W. Mantovani. 2010. Influence of post-clearing treatment on the recovery of herbaceous plant communities in amazonian secondary forests. Restoration Ecology 18:50–58.</w:t>
      </w:r>
    </w:p>
    <w:bookmarkEnd w:id="108"/>
    <w:bookmarkStart w:id="109" w:name="ref-rundel2020"/>
    <w:p>
      <w:pPr>
        <w:pStyle w:val="Bibliography"/>
      </w:pPr>
      <w:r>
        <w:t xml:space="preserve">Rundel, P. W., A. M. Cooley, K. L. Gerst, E. C. Riordan, M. R. Sharifi, J. W. Sun, and J. A. Tower. 2020. Functional traits of broad-leaved monocot herbs in the understory and forest edges of a Costa Rican rainforest. PeerJ 8:e9958.</w:t>
      </w:r>
    </w:p>
    <w:bookmarkEnd w:id="109"/>
    <w:bookmarkStart w:id="110" w:name="ref-rundel1998"/>
    <w:p>
      <w:pPr>
        <w:pStyle w:val="Bibliography"/>
      </w:pPr>
      <w:r>
        <w:t xml:space="preserve">Rundel, P. W., M. R. Sharifi, A. C. Gibson, and K. J. Esler. 1998. Structural and physiological adaptation to light environments in neotropical heliconia (heliconiaceae). Journal of Tropical Ecology 14:789–801.</w:t>
      </w:r>
    </w:p>
    <w:bookmarkEnd w:id="110"/>
    <w:bookmarkStart w:id="111"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11"/>
    <w:bookmarkStart w:id="112"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2"/>
    <w:bookmarkStart w:id="113"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3"/>
    <w:bookmarkStart w:id="114"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4"/>
    <w:bookmarkStart w:id="115"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5"/>
    <w:bookmarkStart w:id="116" w:name="ref-sifres2007"/>
    <w:p>
      <w:pPr>
        <w:pStyle w:val="Bibliography"/>
      </w:pPr>
      <w:r>
        <w:t xml:space="preserve">Sifres, A., B. Picó, J. M. Blanca, R. De Frutos, and F. Nuez. 2007. Genetic</w:t>
      </w:r>
      <w:r>
        <w:t xml:space="preserve"> </w:t>
      </w:r>
      <w:r>
        <w:t xml:space="preserve">Structure</w:t>
      </w:r>
      <w:r>
        <w:t xml:space="preserve"> </w:t>
      </w:r>
      <w:r>
        <w:t xml:space="preserve">of</w:t>
      </w:r>
      <w:r>
        <w:t xml:space="preserve"> </w:t>
      </w:r>
      <w:r>
        <w:t xml:space="preserve">Lycopersicon</w:t>
      </w:r>
      <w:r>
        <w:t xml:space="preserve"> </w:t>
      </w:r>
      <w:r>
        <w:t xml:space="preserve">pimpinellifolium (</w:t>
      </w:r>
      <w:r>
        <w:t xml:space="preserve">Solanaceae</w:t>
      </w:r>
      <w:r>
        <w:t xml:space="preserve">)</w:t>
      </w:r>
      <w:r>
        <w:t xml:space="preserve"> </w:t>
      </w:r>
      <w:r>
        <w:t xml:space="preserve">Populations Collected</w:t>
      </w:r>
      <w:r>
        <w:t xml:space="preserve"> </w:t>
      </w:r>
      <w:r>
        <w:t xml:space="preserve">after the</w:t>
      </w:r>
      <w:r>
        <w:t xml:space="preserve"> </w:t>
      </w:r>
      <w:r>
        <w:t xml:space="preserve">ENSO Event</w:t>
      </w:r>
      <w:r>
        <w:t xml:space="preserve"> </w:t>
      </w:r>
      <w:r>
        <w:t xml:space="preserve">of 1997</w:t>
      </w:r>
      <w:r>
        <w:t xml:space="preserve">. Genetic Resources and Crop Evolution 54:359–377.</w:t>
      </w:r>
    </w:p>
    <w:bookmarkEnd w:id="116"/>
    <w:bookmarkStart w:id="117" w:name="ref-snowTropicalFrugivorousBirds1981"/>
    <w:p>
      <w:pPr>
        <w:pStyle w:val="Bibliography"/>
      </w:pPr>
      <w:r>
        <w:t xml:space="preserve">Snow, D. W. 1981. Tropical frugivorous birds and their food plants - a world survey. Biotropica 13:1–14.</w:t>
      </w:r>
    </w:p>
    <w:bookmarkEnd w:id="117"/>
    <w:bookmarkStart w:id="118" w:name="ref-stiles1975"/>
    <w:p>
      <w:pPr>
        <w:pStyle w:val="Bibliography"/>
      </w:pPr>
      <w:r>
        <w:t xml:space="preserve">Stiles, F. G. 1975. Ecology, flowering phenology, and hummingbird pollination of some costa rican heliconia species. Ecology 56:285301.</w:t>
      </w:r>
    </w:p>
    <w:bookmarkEnd w:id="118"/>
    <w:bookmarkStart w:id="119"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19"/>
    <w:bookmarkStart w:id="120" w:name="Xa086824b435fe5a87603598bac58c770d0b433c"/>
    <w:p>
      <w:pPr>
        <w:pStyle w:val="Bibliography"/>
      </w:pPr>
      <w:r>
        <w:t xml:space="preserve">Tenhumberg, B., E. E. Crone, S. Ramula, and A. J. Tyre. 2018. Time-lagged effects of weather on plant demography: Drought and &amp;lt;i&amp;gt;</w:t>
      </w:r>
      <w:r>
        <w:t xml:space="preserve">Astragalus</w:t>
      </w:r>
      <w:r>
        <w:t xml:space="preserve"> </w:t>
      </w:r>
      <w:r>
        <w:t xml:space="preserve">scaphoides&amp;lt;/i&amp;gt; Ecology 99:915–925.</w:t>
      </w:r>
    </w:p>
    <w:bookmarkEnd w:id="120"/>
    <w:bookmarkStart w:id="121"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w:t>
      </w:r>
      <w:r>
        <w:t xml:space="preserve"> </w:t>
      </w:r>
      <w:r>
        <w:t xml:space="preserve">Demographic Patterns</w:t>
      </w:r>
      <w:r>
        <w:t xml:space="preserve"> </w:t>
      </w:r>
      <w:r>
        <w:t xml:space="preserve">in a</w:t>
      </w:r>
      <w:r>
        <w:t xml:space="preserve"> </w:t>
      </w:r>
      <w:r>
        <w:t xml:space="preserve">Substitute Food</w:t>
      </w:r>
      <w:r>
        <w:t xml:space="preserve"> </w:t>
      </w:r>
      <w:r>
        <w:t xml:space="preserve">for</w:t>
      </w:r>
      <w:r>
        <w:t xml:space="preserve"> </w:t>
      </w:r>
      <w:r>
        <w:t xml:space="preserve">Collared Peccaries</w:t>
      </w:r>
      <w:r>
        <w:t xml:space="preserve"> </w:t>
      </w:r>
      <w:r>
        <w:t xml:space="preserve">in</w:t>
      </w:r>
      <w:r>
        <w:t xml:space="preserve"> </w:t>
      </w:r>
      <w:r>
        <w:t xml:space="preserve">Panama</w:t>
      </w:r>
      <w:r>
        <w:t xml:space="preserve">. Biotropica 35:189–197.</w:t>
      </w:r>
    </w:p>
    <w:bookmarkEnd w:id="121"/>
    <w:bookmarkStart w:id="122" w:name="ref-trmm3b43"/>
    <w:p>
      <w:pPr>
        <w:pStyle w:val="Bibliography"/>
      </w:pPr>
      <w:r>
        <w:t xml:space="preserve">TRMM (TMPA/3B43) rainfall estimate L3 1 month 0.25 degree x 0.25 degree V7. 2011. Goddard Earth Sciences Data; Information Services Center (GES DISC), Greenbelt, MD.</w:t>
      </w:r>
    </w:p>
    <w:bookmarkEnd w:id="122"/>
    <w:bookmarkStart w:id="123" w:name="X2990ffae4b5729b697c683600dc97fa0cd90c99"/>
    <w:p>
      <w:pPr>
        <w:pStyle w:val="Bibliography"/>
      </w:pPr>
      <w:r>
        <w:t xml:space="preserve">Uriarte, M., M. Anciães, M. T. B. da Silva, P. Rubim, E. Johnson, and E. M. Bruna. 2011. Disentangling the drivers of reduced long-distance seed dispersal by birds in an experimentally fragmented landscape. Ecology 92:924–937.</w:t>
      </w:r>
    </w:p>
    <w:bookmarkEnd w:id="123"/>
    <w:bookmarkStart w:id="124" w:name="Xf29f8c32453d49a41f322a6e98d6ea516b6ff1d"/>
    <w:p>
      <w:pPr>
        <w:pStyle w:val="Bibliography"/>
      </w:pPr>
      <w:r>
        <w:t xml:space="preserve">Vicente-Serrano, S. M., S. Beguería, and J. I. López-Moreno.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 Journal of Climate 23:1696–1718.</w:t>
      </w:r>
    </w:p>
    <w:bookmarkEnd w:id="124"/>
    <w:bookmarkStart w:id="125" w:name="ref-westerband2015"/>
    <w:p>
      <w:pPr>
        <w:pStyle w:val="Bibliography"/>
      </w:pPr>
      <w:r>
        <w:t xml:space="preserve">Westerband, A. C., and C. C. Horvitz. 2015. Interactions between plant size and canopy openness influence vital rates and life-history tradeoffs in two neotropical understory herbs. American Journal of Botany 102:1290–1299.</w:t>
      </w:r>
    </w:p>
    <w:bookmarkEnd w:id="125"/>
    <w:bookmarkStart w:id="126" w:name="ref-westerband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6"/>
    <w:bookmarkStart w:id="127" w:name="ref-williamsonAmazonianTreeMortality2000"/>
    <w:p>
      <w:pPr>
        <w:pStyle w:val="Bibliography"/>
      </w:pPr>
      <w:r>
        <w:t xml:space="preserve">Williamson, G. B., W. F. Laurance, A. A. Oliveira, P. Delamônica, C. Gascon, T. E. Lovejoy, and L. Pohl. 2000. Amazonian Tree Mortality during the 1997 El Niño Drought. Conservation Biology 14:1538–1542.</w:t>
      </w:r>
    </w:p>
    <w:bookmarkEnd w:id="127"/>
    <w:bookmarkStart w:id="128" w:name="ref-woodGeneralizedAdditiveModels2017"/>
    <w:p>
      <w:pPr>
        <w:pStyle w:val="Bibliography"/>
      </w:pPr>
      <w:r>
        <w:t xml:space="preserve">Wood, S. N. 2017. Generalized additive models: An introduction with r. Second edition. CRC Press/Taylor &amp; Francis Group, Boca Raton.</w:t>
      </w:r>
    </w:p>
    <w:bookmarkEnd w:id="128"/>
    <w:bookmarkStart w:id="129" w:name="ref-woodsimonn.ChapterSmoothers"/>
    <w:p>
      <w:pPr>
        <w:pStyle w:val="Bibliography"/>
      </w:pPr>
      <w:r>
        <w:t xml:space="preserve">Wood, S. N. (n.d.). Chapter 5:</w:t>
      </w:r>
      <w:r>
        <w:t xml:space="preserve"> </w:t>
      </w:r>
      <w:r>
        <w:t xml:space="preserve">Smoothers</w:t>
      </w:r>
      <w:r>
        <w:t xml:space="preserve">. Pages 195–247 Generalized additive models: An introduction with</w:t>
      </w:r>
      <w:r>
        <w:t xml:space="preserve"> </w:t>
      </w:r>
      <w:r>
        <w:t xml:space="preserve">R</w:t>
      </w:r>
      <w:r>
        <w:t xml:space="preserve">.</w:t>
      </w:r>
    </w:p>
    <w:bookmarkEnd w:id="129"/>
    <w:bookmarkStart w:id="130" w:name="ref-wright1992"/>
    <w:p>
      <w:pPr>
        <w:pStyle w:val="Bibliography"/>
      </w:pPr>
      <w:r>
        <w:t xml:space="preserve">Wright, S. J. 1992. Seasonal drought, soil fertility and the species density of tropical forest plant communities. Trends in Ecology &amp; Evolution 7:260–263.</w:t>
      </w:r>
    </w:p>
    <w:bookmarkEnd w:id="130"/>
    <w:bookmarkStart w:id="131" w:name="ref-wrightSeasonalNinoLonger2006"/>
    <w:p>
      <w:pPr>
        <w:pStyle w:val="Bibliography"/>
      </w:pPr>
      <w:r>
        <w:t xml:space="preserve">Wright, S. J., and O. Calderon. 2006. Seasonal, el nino and longer term changes in flower and seed production in a moist tropical forest. Ecology Letters 9:35–44.</w:t>
      </w:r>
    </w:p>
    <w:bookmarkEnd w:id="131"/>
    <w:bookmarkStart w:id="132" w:name="ref-xavierDailyGriddedMeteorological2016"/>
    <w:p>
      <w:pPr>
        <w:pStyle w:val="Bibliography"/>
      </w:pPr>
      <w:r>
        <w:t xml:space="preserve">Xavier, A. C., C. W. King, and B. R. Scanlon. 2016. Daily gridded meteorological variables in Brazil (1980</w:t>
      </w:r>
      <w:r>
        <w:t xml:space="preserve">2013). International Journal of Climatology 36:2644–2659.</w:t>
      </w:r>
    </w:p>
    <w:bookmarkEnd w:id="132"/>
    <w:bookmarkStart w:id="133"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3"/>
    <w:bookmarkStart w:id="134" w:name="ref-zengCausesImpacts20052008"/>
    <w:p>
      <w:pPr>
        <w:pStyle w:val="Bibliography"/>
      </w:pPr>
      <w:r>
        <w:t xml:space="preserve">Zeng, N., J.-H. Yoon, J. A. Marengo, A. Subramaniam, C. A. Nobre, A. Mariotti, and J. D. Neelin. 2008. Causes and impacts of the 2005 Amazon drought. Environmental Research Letters 3:014002.</w:t>
      </w:r>
    </w:p>
    <w:bookmarkEnd w:id="134"/>
    <w:bookmarkEnd w:id="135"/>
    <w:p>
      <w:r>
        <w:br w:type="page"/>
      </w:r>
    </w:p>
    <w:bookmarkStart w:id="136" w:name="colophon"/>
    <w:p>
      <w:pPr>
        <w:pStyle w:val="Heading3"/>
      </w:pPr>
      <w:r>
        <w:t xml:space="preserve">Colophon</w:t>
      </w:r>
    </w:p>
    <w:p>
      <w:pPr>
        <w:pStyle w:val="FirstParagraph"/>
      </w:pPr>
      <w:r>
        <w:t xml:space="preserve">This report was generated on 2021-04-01 16:36:54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2021-04-01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0.7.3      2020-12-16 [?]</w:t>
      </w:r>
      <w:r>
        <w:br/>
      </w:r>
      <w:r>
        <w:rPr>
          <w:rStyle w:val="VerbatimChar"/>
        </w:rPr>
        <w:t xml:space="preserve">#&gt;    callr          3.5.1      2020-10-13 [1]</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2.2.0      2020-11-20 [?]</w:t>
      </w:r>
      <w:r>
        <w:br/>
      </w:r>
      <w:r>
        <w:rPr>
          <w:rStyle w:val="VerbatimChar"/>
        </w:rPr>
        <w:t xml:space="preserve">#&gt;  P cluster        2.1.0      2019-06-19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1.13.6     2020-12-30 [?]</w:t>
      </w:r>
      <w:r>
        <w:br/>
      </w:r>
      <w:r>
        <w:rPr>
          <w:rStyle w:val="VerbatimChar"/>
        </w:rPr>
        <w:t xml:space="preserve">#&gt;  P DBI            1.1.0      2019-12-15 [?]</w:t>
      </w:r>
      <w:r>
        <w:br/>
      </w:r>
      <w:r>
        <w:rPr>
          <w:rStyle w:val="VerbatimChar"/>
        </w:rPr>
        <w:t xml:space="preserve">#&gt;  P dbplyr         2.0.0      2020-11-03 [?]</w:t>
      </w:r>
      <w:r>
        <w:br/>
      </w:r>
      <w:r>
        <w:rPr>
          <w:rStyle w:val="VerbatimChar"/>
        </w:rPr>
        <w:t xml:space="preserve">#&gt;  P desc           1.2.0      2018-05-01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2.4.2      2020-05-22 [?]</w:t>
      </w:r>
      <w:r>
        <w:br/>
      </w:r>
      <w:r>
        <w:rPr>
          <w:rStyle w:val="VerbatimChar"/>
        </w:rPr>
        <w:t xml:space="preserve">#&gt;  P dotenv       * 1.0.2      2017-03-01 [?]</w:t>
      </w:r>
      <w:r>
        <w:br/>
      </w:r>
      <w:r>
        <w:rPr>
          <w:rStyle w:val="VerbatimChar"/>
        </w:rPr>
        <w:t xml:space="preserve">#&gt;  P dplyr        * 1.0.2      2020-08-18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0.4.1      2020-01-08 [?]</w:t>
      </w:r>
      <w:r>
        <w:br/>
      </w:r>
      <w:r>
        <w:rPr>
          <w:rStyle w:val="VerbatimChar"/>
        </w:rPr>
        <w:t xml:space="preserve">#&gt;  P farver         2.0.3      2020-01-16 [?]</w:t>
      </w:r>
      <w:r>
        <w:br/>
      </w:r>
      <w:r>
        <w:rPr>
          <w:rStyle w:val="VerbatimChar"/>
        </w:rPr>
        <w:t xml:space="preserve">#&gt;  P forcats      * 0.5.0      2020-03-01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2021-02-17 [?]</w:t>
      </w:r>
      <w:r>
        <w:br/>
      </w:r>
      <w:r>
        <w:rPr>
          <w:rStyle w:val="VerbatimChar"/>
        </w:rPr>
        <w:t xml:space="preserve">#&gt;  P gridExtra      2.3        2017-09-09 [?]</w:t>
      </w:r>
      <w:r>
        <w:br/>
      </w:r>
      <w:r>
        <w:rPr>
          <w:rStyle w:val="VerbatimChar"/>
        </w:rPr>
        <w:t xml:space="preserve">#&gt;  P gt           * 0.2.2      2020-08-05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4.4-2      2020-11-29 [?]</w:t>
      </w:r>
      <w:r>
        <w:br/>
      </w:r>
      <w:r>
        <w:rPr>
          <w:rStyle w:val="VerbatimChar"/>
        </w:rPr>
        <w:t xml:space="preserve">#&gt;  P hms            0.5.3      2020-01-08 [?]</w:t>
      </w:r>
      <w:r>
        <w:br/>
      </w:r>
      <w:r>
        <w:rPr>
          <w:rStyle w:val="VerbatimChar"/>
        </w:rPr>
        <w:t xml:space="preserve">#&gt;  P htmlTable      2.1.0      2020-09-16 [?]</w:t>
      </w:r>
      <w:r>
        <w:br/>
      </w:r>
      <w:r>
        <w:rPr>
          <w:rStyle w:val="VerbatimChar"/>
        </w:rPr>
        <w:t xml:space="preserve">#&gt;  P htmltools      0.5.0      2020-06-16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0.2.3      2020-12-01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1.30       2020-09-22 [?]</w:t>
      </w:r>
      <w:r>
        <w:br/>
      </w:r>
      <w:r>
        <w:rPr>
          <w:rStyle w:val="VerbatimChar"/>
        </w:rPr>
        <w:t xml:space="preserve">#&gt;    labeling       0.4.2      2020-10-20 [1]</w:t>
      </w:r>
      <w:r>
        <w:br/>
      </w:r>
      <w:r>
        <w:rPr>
          <w:rStyle w:val="VerbatimChar"/>
        </w:rPr>
        <w:t xml:space="preserve">#&gt;  P latex2exp    * 0.4.0      2015-11-30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0.2.0      2020-03-06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1.7.9.2    2020-11-13 [?]</w:t>
      </w:r>
      <w:r>
        <w:br/>
      </w:r>
      <w:r>
        <w:rPr>
          <w:rStyle w:val="VerbatimChar"/>
        </w:rPr>
        <w:t xml:space="preserve">#&gt;  P magrittr       2.0.1      2020-11-17 [?]</w:t>
      </w:r>
      <w:r>
        <w:br/>
      </w:r>
      <w:r>
        <w:rPr>
          <w:rStyle w:val="VerbatimChar"/>
        </w:rPr>
        <w:t xml:space="preserve">#&gt;  P MASS           7.3-53     2020-09-09 [?]</w:t>
      </w:r>
      <w:r>
        <w:br/>
      </w:r>
      <w:r>
        <w:rPr>
          <w:rStyle w:val="VerbatimChar"/>
        </w:rPr>
        <w:t xml:space="preserve">#&gt;  P Matrix         1.3-2      2021-01-06 [?]</w:t>
      </w:r>
      <w:r>
        <w:br/>
      </w:r>
      <w:r>
        <w:rPr>
          <w:rStyle w:val="VerbatimChar"/>
        </w:rPr>
        <w:t xml:space="preserve">#&gt;  P memoise        1.1.0      2017-04-21 [?]</w:t>
      </w:r>
      <w:r>
        <w:br/>
      </w:r>
      <w:r>
        <w:rPr>
          <w:rStyle w:val="VerbatimChar"/>
        </w:rPr>
        <w:t xml:space="preserve">#&gt;  P mgcv         * 1.8-33     2020-08-27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3.1-151    2020-12-10 [?]</w:t>
      </w:r>
      <w:r>
        <w:br/>
      </w:r>
      <w:r>
        <w:rPr>
          <w:rStyle w:val="VerbatimChar"/>
        </w:rPr>
        <w:t xml:space="preserve">#&gt;  P nnet           7.3-14     2020-04-26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1.4.7      2020-11-20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1.1.0      2020-05-29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3.4.5      2020-11-30 [?]</w:t>
      </w:r>
      <w:r>
        <w:br/>
      </w:r>
      <w:r>
        <w:rPr>
          <w:rStyle w:val="VerbatimChar"/>
        </w:rPr>
        <w:t xml:space="preserve">#&gt;  P ps             1.5.0      2020-12-05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1.0.5      2020-07-06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2.2.0      2020-07-21 [?]</w:t>
      </w:r>
      <w:r>
        <w:br/>
      </w:r>
      <w:r>
        <w:rPr>
          <w:rStyle w:val="VerbatimChar"/>
        </w:rPr>
        <w:t xml:space="preserve">#&gt;  P renv           0.12.3     2020-11-25 [?]</w:t>
      </w:r>
      <w:r>
        <w:br/>
      </w:r>
      <w:r>
        <w:rPr>
          <w:rStyle w:val="VerbatimChar"/>
        </w:rPr>
        <w:t xml:space="preserve">#&gt;  P reprex         0.3.0      2019-05-16 [?]</w:t>
      </w:r>
      <w:r>
        <w:br/>
      </w:r>
      <w:r>
        <w:rPr>
          <w:rStyle w:val="VerbatimChar"/>
        </w:rPr>
        <w:t xml:space="preserve">#&gt;  P rlang          0.4.10     2020-12-30 [?]</w:t>
      </w:r>
      <w:r>
        <w:br/>
      </w:r>
      <w:r>
        <w:rPr>
          <w:rStyle w:val="VerbatimChar"/>
        </w:rPr>
        <w:t xml:space="preserve">#&gt;  P rmarkdown    * 2.6        2020-12-14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0.3.6      2020-07-25 [?]</w:t>
      </w:r>
      <w:r>
        <w:br/>
      </w:r>
      <w:r>
        <w:rPr>
          <w:rStyle w:val="VerbatimChar"/>
        </w:rPr>
        <w:t xml:space="preserve">#&gt;  P sass           0.2.0      2020-03-18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3.2-7      2020-09-28 [?]</w:t>
      </w:r>
      <w:r>
        <w:br/>
      </w:r>
      <w:r>
        <w:rPr>
          <w:rStyle w:val="VerbatimChar"/>
        </w:rPr>
        <w:t xml:space="preserve">#&gt;  P tarchetypes  * 0.1.0      2021-02-27 [?]</w:t>
      </w:r>
      <w:r>
        <w:br/>
      </w:r>
      <w:r>
        <w:rPr>
          <w:rStyle w:val="VerbatimChar"/>
        </w:rPr>
        <w:t xml:space="preserve">#&gt;  P targets      * 0.2.0      2021-02-27 [?]</w:t>
      </w:r>
      <w:r>
        <w:br/>
      </w:r>
      <w:r>
        <w:rPr>
          <w:rStyle w:val="VerbatimChar"/>
        </w:rPr>
        <w:t xml:space="preserve">#&gt;  P testthat       3.0.1      2020-12-17 [?]</w:t>
      </w:r>
      <w:r>
        <w:br/>
      </w:r>
      <w:r>
        <w:rPr>
          <w:rStyle w:val="VerbatimChar"/>
        </w:rPr>
        <w:t xml:space="preserve">#&gt;    tibble       * 3.0.4      2020-10-12 [1]</w:t>
      </w:r>
      <w:r>
        <w:br/>
      </w:r>
      <w:r>
        <w:rPr>
          <w:rStyle w:val="VerbatimChar"/>
        </w:rPr>
        <w:t xml:space="preserve">#&gt;  P tidyr        * 1.1.2      2020-08-27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0.9.3      2020-10-06 [?]</w:t>
      </w:r>
      <w:r>
        <w:br/>
      </w:r>
      <w:r>
        <w:rPr>
          <w:rStyle w:val="VerbatimChar"/>
        </w:rPr>
        <w:t xml:space="preserve">#&gt;  P tsModel      * 0.6        2013-06-24 [?]</w:t>
      </w:r>
      <w:r>
        <w:br/>
      </w:r>
      <w:r>
        <w:rPr>
          <w:rStyle w:val="VerbatimChar"/>
        </w:rPr>
        <w:t xml:space="preserve">#&gt;  P usethis        2.0.0      2020-12-10 [?]</w:t>
      </w:r>
      <w:r>
        <w:br/>
      </w:r>
      <w:r>
        <w:rPr>
          <w:rStyle w:val="VerbatimChar"/>
        </w:rPr>
        <w:t xml:space="preserve">#&gt;  P vctrs          0.3.6      2020-12-17 [?]</w:t>
      </w:r>
      <w:r>
        <w:br/>
      </w:r>
      <w:r>
        <w:rPr>
          <w:rStyle w:val="VerbatimChar"/>
        </w:rPr>
        <w:t xml:space="preserve">#&gt;    withr          2.3.0      2020-09-22 [1]</w:t>
      </w:r>
      <w:r>
        <w:br/>
      </w:r>
      <w:r>
        <w:rPr>
          <w:rStyle w:val="VerbatimChar"/>
        </w:rPr>
        <w:t xml:space="preserve">#&gt;  P xfun           0.20       2021-01-06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(gavinsimpson/gratia@32daf2f)</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/private/var/folders/b_/2vfnxxls5vs401tmhhb3wqdh0000gp/T/RtmppGGiWV/renv-system-library</w:t>
      </w:r>
      <w:r>
        <w:br/>
      </w:r>
      <w:r>
        <w:rPr>
          <w:rStyle w:val="VerbatimChar"/>
        </w:rPr>
        <w:t xml:space="preserve">#&gt; [3] /private/var/folders/b_/2vfnxxls5vs401tmhhb3wqdh0000gp/T/Rtmpyr7L8w/renv-system-library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[c4ad373] 2021-04-01: worked on buffering paragraph</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2021-04-01T20:36:57Z</dcterms:created>
  <dcterms:modified xsi:type="dcterms:W3CDTF">2021-04-01T20:36:57Z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01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