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17</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William F.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 W. F.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W. F.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 – 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coupled with the evidence that growth and survivorship are already lower in fragments</w:t>
      </w:r>
      <w:r>
        <w:t xml:space="preserve"> </w:t>
      </w:r>
      <w:r>
        <w:t xml:space="preserve">(Bruna et al., 2002; W. F. Laurance et al., 1998; Zartman et al., 2015)</w:t>
      </w:r>
      <w:r>
        <w:t xml:space="preserve">, has led to speculation that plants in tropical forest fragments are particularly at risk from drought and other climatic extremes</w:t>
      </w:r>
      <w:r>
        <w:t xml:space="preserve"> </w:t>
      </w:r>
      <w:r>
        <w:t xml:space="preserve">(W. F. Laurance et al., 2001; Selwood et al., 2015;</w:t>
      </w:r>
      <w:r>
        <w:t xml:space="preserve"> </w:t>
      </w:r>
      <w:r>
        <w:rPr>
          <w:bCs/>
          <w:b/>
        </w:rPr>
        <w:t xml:space="preserve">opdam2004?</w:t>
      </w:r>
      <w:r>
        <w:t xml:space="preserve">)</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María Uriarte et al., 2016)</w:t>
      </w:r>
      <w:r>
        <w:t xml:space="preserve">, but few studies have compared the responses of plants in continuous forest with those in forest fragments</w:t>
      </w:r>
      <w:r>
        <w:t xml:space="preserve"> </w:t>
      </w:r>
      <w:r>
        <w:t xml:space="preserve">(W. F. 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 </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(María 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plots, survey methods, and</w:t>
      </w:r>
      <w:r>
        <w:t xml:space="preserve"> </w:t>
      </w:r>
      <w:r>
        <w:rPr>
          <w:iCs/>
          <w:i/>
        </w:rPr>
        <w:t xml:space="preserve">H. acuminata</w:t>
      </w:r>
      <w:r>
        <w:t xml:space="preserve"> </w:t>
      </w:r>
      <w:r>
        <w:t xml:space="preserve">populations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2.6-fold more plants than plots in 1-ha fragments (CF = 4565 ± 3473 SD; 1-ha = 1723 ± 179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2</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consequently substantially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1</w:t>
      </w:r>
      <w:r>
        <w:t xml:space="preserve">a), likely due to a combination of greater seedling recruitment in CF and plant mortality or shrinkage.</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w:t>
      </w:r>
      <m:oMath>
        <m:r>
          <m:t>p</m:t>
        </m:r>
        <m:r>
          <m:rPr>
            <m:sty m:val="p"/>
          </m:rPr>
          <m:t>&lt;</m:t>
        </m:r>
        <m:r>
          <m:t>0.001</m:t>
        </m:r>
      </m:oMath>
      <w:r>
        <w:t xml:space="preserve">), growth (</w:t>
      </w:r>
      <m:oMath>
        <m:r>
          <m:t>p</m:t>
        </m:r>
        <m:r>
          <m:rPr>
            <m:sty m:val="p"/>
          </m:rPr>
          <m:t>&lt;</m:t>
        </m:r>
        <m:r>
          <m:t>0.001</m:t>
        </m:r>
      </m:oMath>
      <w:r>
        <w:t xml:space="preserve">), and flowering (</w:t>
      </w:r>
      <m:oMath>
        <m:r>
          <m:t>p</m:t>
        </m:r>
        <m:r>
          <m:rPr>
            <m:sty m:val="p"/>
          </m:rPr>
          <m:t>&lt;</m:t>
        </m:r>
        <m:r>
          <m:t>0.001</m:t>
        </m:r>
      </m:oMath>
      <w:r>
        <w:t xml:space="preserve">)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recent SPEI values (i.e. within the past 0–12 months) had the strongest effect on survival</w:t>
      </w:r>
      <w:r>
        <w:t xml:space="preserve"> </w:t>
      </w:r>
      <w:r>
        <w:t xml:space="preserve">., with the highest survival near SPEI of 0 and mortality increasing as conditions became either drier or wetter (i.e., as SPEI values became increasingly negative or positive, respectively; Figure</w:t>
      </w:r>
      <w:r>
        <w:t xml:space="preserve"> </w:t>
      </w:r>
      <w:r>
        <w:t xml:space="preserve">3</w:t>
      </w:r>
      <w:r>
        <w:t xml:space="preserve">a).</w:t>
      </w:r>
      <w:r>
        <w:t xml:space="preserve"> </w:t>
      </w:r>
      <w:r>
        <w:t xml:space="preserve">In contrast, the effect of recent SPEI in continuous forest was both weaker and unidirectional – survival probability was reduced only when SPEI was &lt; -1 (i.e., mild-severe drought), and even then only slightly (Figure</w:t>
      </w:r>
      <w:r>
        <w:t xml:space="preserve"> </w:t>
      </w:r>
      <w:r>
        <w:t xml:space="preserve">3</w:t>
      </w:r>
      <w:r>
        <w:t xml:space="preserve">b).</w:t>
      </w:r>
      <w:r>
        <w:t xml:space="preserve"> </w:t>
      </w:r>
      <w:r>
        <w:t xml:space="preserve">Instead the most pronounced effects on the survival of plants in continuous forest were of SPEI at a lag time of 15–20 months (i.e. two dry seasons prior to a census).</w:t>
      </w:r>
      <w:r>
        <w:t xml:space="preserve"> </w:t>
      </w:r>
      <w:r>
        <w:t xml:space="preserve">Drought 15–20 months prior to a census (i.e., SPEI &lt; -1) was associated with reduced survival, while high precipitation (i.e., SPEI &gt; 1) was associated with higher survival (put another way,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3</w:t>
      </w:r>
      <w:r>
        <w:t xml:space="preserve">c).</w:t>
      </w:r>
      <w:r>
        <w:t xml:space="preserve"> </w:t>
      </w:r>
      <w:r>
        <w:t xml:space="preserve">However, under extreme conditions, survival probability is higher in continuous forest by up to 0.02.</w:t>
      </w:r>
    </w:p>
    <w:p>
      <w:pPr>
        <w:pStyle w:val="BodyText"/>
      </w:pPr>
      <w:r>
        <w:t xml:space="preserve">While the fitted crossbasis functions for fragments and continuous forest showed generally similar patterns of drought effects on growth (i.e, trends in plant size), the surface for 1-ha fragments indicated more complex responses in some situations (edf = 17.9 for 1-ha fragments; edf = 12.9 for continuous forest; see also Figure</w:t>
      </w:r>
      <w:r>
        <w:t xml:space="preserve"> </w:t>
      </w:r>
      <w:r>
        <w:t xml:space="preserve">4</w:t>
      </w:r>
      <w:r>
        <w:t xml:space="preserve">).</w:t>
      </w:r>
      <w:r>
        <w:t xml:space="preserve"> </w:t>
      </w:r>
      <w:r>
        <w:t xml:space="preserve">For example, when SPEI = 0 (i.e., average conditions), growth is similar or slightly higher in continuous forest over all lag periods (Figure</w:t>
      </w:r>
      <w:r>
        <w:t xml:space="preserve"> </w:t>
      </w:r>
      <w:r>
        <w:t xml:space="preserve">4</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effects of SPEI on flowering probability in continuous forest were also more complex (1-ha edf = 8.1, continuous forest edf = 10.3);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w:t>
      </w:r>
      <w:r>
        <w:t xml:space="preserve"> </w:t>
      </w:r>
      <w:r>
        <w:t xml:space="preserve">The responses in 1-ha fragments were substantially more muted, as indicated by the shape of the crossbasis function (Figure</w:t>
      </w:r>
      <w:r>
        <w:t xml:space="preserve"> </w:t>
      </w:r>
      <w:r>
        <w:t xml:space="preserve">5</w:t>
      </w:r>
      <w:r>
        <w:t xml:space="preserve">a).</w:t>
      </w:r>
      <w:r>
        <w:t xml:space="preserve"> </w:t>
      </w:r>
      <w:r>
        <w:t xml:space="preserve">In other words, the variation in fitted values along the SPEI dimension was much lower at all values of the lag dimension in fragments.</w:t>
      </w:r>
      <w:r>
        <w:t xml:space="preserve"> </w:t>
      </w: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5</w:t>
      </w:r>
      <w:r>
        <w:t xml:space="preserve">c).</w:t>
      </w:r>
      <w:r>
        <w:t xml:space="preserve"> </w:t>
      </w:r>
      <w:r>
        <w:t xml:space="preserve">The least difference between habitat types occurs when there is strong drought at about 8–12 months lag or very wet conditions at 15–20 months lag.</w:t>
      </w:r>
    </w:p>
    <w:p>
      <w:pPr>
        <w:pStyle w:val="BodyText"/>
      </w:pPr>
      <w:r>
        <w:rPr>
          <w:iCs/>
          <w:i/>
          <w:bCs/>
          <w:b/>
        </w:rPr>
        <w:t xml:space="preserve">ALTERNATIVE SUMMARY OF THE FLOWERING RESULTS?</w:t>
      </w:r>
      <w:r>
        <w:t xml:space="preserve"> </w:t>
      </w: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5</w:t>
      </w:r>
      <w:r>
        <w:t xml:space="preserve">a).</w:t>
      </w:r>
      <w:r>
        <w:t xml:space="preserve"> </w:t>
      </w:r>
      <w:r>
        <w:t xml:space="preserve">This led to some important inter-habitat differences in plant responses to prior droughts: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 in continuous forest far more than it did in fragments (Figure</w:t>
      </w:r>
      <w:r>
        <w:t xml:space="preserve"> </w:t>
      </w:r>
      <w:r>
        <w:t xml:space="preserve">5</w:t>
      </w:r>
      <w:r>
        <w:t xml:space="preserve">c).</w:t>
      </w:r>
      <w:r>
        <w:t xml:space="preserve"> </w:t>
      </w:r>
      <w:r>
        <w:t xml:space="preserve">The greatest similarity between forest and fragments occurs when there is strong drought 8–12 months prior, or precipitation 15–20 months prior is extremely high.</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There was no evidence for a cost of reproduction — in both forest and fragments, flowering in the previous year was a significant predictor of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w:t>
      </w:r>
      <w:r>
        <w:t xml:space="preserve"> </w:t>
      </w:r>
      <w:r>
        <w:t xml:space="preserve">However, the coefficients were always positive, indicating that flowering in the previous year was positively related to both size and flowering probability in the current year.</w:t>
      </w:r>
      <w:r>
        <w:t xml:space="preserve"> </w:t>
      </w:r>
      <w:r>
        <w:t xml:space="preserve">This suggests that….</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w:t>
      </w:r>
      <w:r>
        <w:rPr>
          <w:bCs/>
          <w:b/>
        </w:rPr>
        <w:t xml:space="preserve">opdam2004a?</w:t>
      </w:r>
      <w:r>
        <w:t xml:space="preserve">;</w:t>
      </w:r>
      <w:r>
        <w:t xml:space="preserve"> </w:t>
      </w:r>
      <w:r>
        <w:rPr>
          <w:bCs/>
          <w:b/>
        </w:rPr>
        <w:t xml:space="preserve">selwood2015a?</w:t>
      </w:r>
      <w:r>
        <w:t xml:space="preserve">;</w:t>
      </w:r>
      <w:r>
        <w:t xml:space="preserve"> </w:t>
      </w:r>
      <w:r>
        <w:rPr>
          <w:bCs/>
          <w:b/>
        </w:rPr>
        <w:t xml:space="preserve">laurance2001?</w:t>
      </w:r>
      <w:r>
        <w:t xml:space="preserve">)</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Our results indicate that some—but not all—results from short-term demographic studies can be extrapolated to longer times scales.</w:t>
      </w:r>
      <w:r>
        <w:t xml:space="preserve"> </w:t>
      </w:r>
      <w:r>
        <w:t xml:space="preserve">Decadal comparisons of</w:t>
      </w:r>
      <w:r>
        <w:t xml:space="preserve"> </w:t>
      </w:r>
      <w:r>
        <w:rPr>
          <w:iCs/>
          <w:i/>
        </w:rPr>
        <w:t xml:space="preserve">Heliconia acuminata</w:t>
      </w:r>
      <w:r>
        <w:t xml:space="preserve"> </w:t>
      </w:r>
      <w:r>
        <w:t xml:space="preserve">growth and survival largely mirrored those of prior experiments and surveys</w:t>
      </w:r>
      <w:r>
        <w:t xml:space="preserve"> </w:t>
      </w:r>
      <w:r>
        <w:t xml:space="preserve">(Bruna &amp; Kress, 2002)</w:t>
      </w:r>
      <w:r>
        <w:t xml:space="preserve">.</w:t>
      </w:r>
      <w:r>
        <w:t xml:space="preserve"> </w:t>
      </w:r>
      <w:r>
        <w:t xml:space="preserve">In contrast, conclusions regarding the effect of fragmentation on flowering differed substantially from those based on short-term surveys</w:t>
      </w:r>
      <w:r>
        <w:t xml:space="preserve"> </w:t>
      </w:r>
      <w:r>
        <w:t xml:space="preserve">(Bruna &amp; Kress, 2002)</w:t>
      </w:r>
      <w:r>
        <w:t xml:space="preserve">.</w:t>
      </w:r>
      <w:r>
        <w:t xml:space="preserve"> </w:t>
      </w:r>
      <w:r>
        <w:t xml:space="preserve">While in some years the probability a plant flowered was far lower in fragments than in continuous forest, in others it was comparable or even higher.</w:t>
      </w:r>
      <w:r>
        <w:t xml:space="preserve"> </w:t>
      </w:r>
      <w:r>
        <w:t xml:space="preserve">The probability that individual plants flowered continued to be size-dependent, with a similar size threshold below which plants were unlikely to produce inflorescences.</w:t>
      </w:r>
      <w:r>
        <w:t xml:space="preserve"> </w:t>
      </w:r>
      <w:r>
        <w:t xml:space="preserve">However, while in our initial three-year survey the relationship between plant size and probability of flowering was similar in both habitat types</w:t>
      </w:r>
      <w:r>
        <w:t xml:space="preserve"> </w:t>
      </w:r>
      <w:r>
        <w:t xml:space="preserve">(Bruna &amp;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abundance—populations in fragments are smaller, and they have proportionately fewer of these large plants</w:t>
      </w:r>
      <w:r>
        <w:t xml:space="preserve"> </w:t>
      </w:r>
      <w:r>
        <w:t xml:space="preserve">(Bruna &amp; Kress, 2002)</w:t>
      </w:r>
      <w:r>
        <w:t xml:space="preserve">.</w:t>
      </w:r>
      <w:r>
        <w:t xml:space="preserve"> </w:t>
      </w:r>
      <w:r>
        <w:t xml:space="preserve">However, they could potentially lead to major habitat-specific differences in lifetime reproductive effort for these long-lived plants.</w:t>
      </w:r>
      <w:r>
        <w:t xml:space="preserve"> </w:t>
      </w:r>
      <w:r>
        <w:t xml:space="preserve">They translate into flowering once every 7.97 years in fragments vs. every 10.63 years in continuous forest (assuming stasis in size and average SPEI).</w:t>
      </w:r>
      <w:r>
        <w:t xml:space="preserve"> </w:t>
      </w:r>
      <w:r>
        <w:t xml:space="preserve">While some</w:t>
      </w:r>
      <w:r>
        <w:t xml:space="preserve"> </w:t>
      </w:r>
      <w:r>
        <w:rPr>
          <w:iCs/>
          <w:i/>
        </w:rPr>
        <w:t xml:space="preserve">Heliconia</w:t>
      </w:r>
      <w:r>
        <w:t xml:space="preserve"> </w:t>
      </w:r>
      <w:r>
        <w:t xml:space="preserve">species could compensate for these disparities with by selfing</w:t>
      </w:r>
      <w:r>
        <w:t xml:space="preserve"> </w:t>
      </w:r>
      <w:r>
        <w:t xml:space="preserve">(Kress, 1983)</w:t>
      </w:r>
      <w:r>
        <w:t xml:space="preserve"> </w:t>
      </w:r>
      <w:r>
        <w:t xml:space="preserve">or vegetative reproduction</w:t>
      </w:r>
      <w:r>
        <w:t xml:space="preserve"> </w:t>
      </w:r>
      <w:r>
        <w:t xml:space="preserve">Rundel et al. (2020)</w:t>
      </w:r>
      <w:r>
        <w:t xml:space="preserve">], pollen transfer experiments indicate self-fertilization in</w:t>
      </w:r>
      <w:r>
        <w:t xml:space="preserve"> </w:t>
      </w:r>
      <w:r>
        <w:rPr>
          <w:iCs/>
          <w:i/>
        </w:rPr>
        <w:t xml:space="preserve">Heliconia acuminata</w:t>
      </w:r>
      <w:r>
        <w:t xml:space="preserve"> </w:t>
      </w:r>
      <w:r>
        <w:t xml:space="preserve">is rare and this species does not reproduce clonally (Bruna</w:t>
      </w:r>
      <w:r>
        <w:t xml:space="preserve"> </w:t>
      </w:r>
      <w:r>
        <w:rPr>
          <w:iCs/>
          <w:i/>
        </w:rPr>
        <w:t xml:space="preserve">unpubl. data</w:t>
      </w:r>
      <w:r>
        <w:t xml:space="preserve">).</w:t>
      </w:r>
      <w:r>
        <w:t xml:space="preserve"> </w:t>
      </w:r>
      <w:r>
        <w:t xml:space="preserve">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p>
      <w:pPr>
        <w:pStyle w:val="BodyText"/>
      </w:pPr>
      <w:r>
        <w:t xml:space="preserve">Fragmentation of forests diminishes their ability to buffer changes in microclimate due to edge effects</w:t>
      </w:r>
      <w:r>
        <w:t xml:space="preserve"> </w:t>
      </w:r>
      <w:r>
        <w:t xml:space="preserve">(Didham &amp; Lawton, 1999; Ewers &amp; Banks-Leite, 2013)</w:t>
      </w:r>
      <w:r>
        <w:t xml:space="preserve">.</w:t>
      </w:r>
      <w:r>
        <w:t xml:space="preserve"> </w:t>
      </w:r>
      <w:r>
        <w:t xml:space="preserve">This can result in changes in vegetation structure, and is a plausible mechanism for reduced growth and survival of</w:t>
      </w:r>
      <w:r>
        <w:t xml:space="preserve"> </w:t>
      </w:r>
      <w:r>
        <w:rPr>
          <w:iCs/>
          <w:i/>
        </w:rPr>
        <w:t xml:space="preserve">H. acuminata</w:t>
      </w:r>
      <w:r>
        <w:t xml:space="preserve"> </w:t>
      </w:r>
      <w:r>
        <w:t xml:space="preserve">in forest fragments in this study.</w:t>
      </w:r>
      <w:r>
        <w:t xml:space="preserve"> </w:t>
      </w:r>
      <w:r>
        <w:t xml:space="preserve">We show that the effects of variation in SPEI on survival and growth are more extreme in fragments compared to continuous forest.</w:t>
      </w:r>
      <w:r>
        <w:t xml:space="preserve"> </w:t>
      </w:r>
      <w:r>
        <w:t xml:space="preserve">Additionally, the direction of the SPEI effects appear to be seasonal—that is, extreme dry conditions in dry seasons and extreme wet conditions in wet seasons are most detrimental to growth and survival.</w:t>
      </w:r>
      <w:r>
        <w:t xml:space="preserve"> </w:t>
      </w:r>
      <w:r>
        <w:t xml:space="preserve">The ability of continuous forest habitat to buffer these extremes may be responsible for the less extreme effects of variation in SPEI in continuous forest.</w:t>
      </w:r>
      <w:r>
        <w:t xml:space="preserve"> </w:t>
      </w:r>
      <w:r>
        <w:t xml:space="preserve">More experimental work is needed to establish alterations in microclimate or impaired microclimate buffering in extreme weather events as a causal mechanism for reduced growth and survival of plant individuals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(Alfaro-Sánchez et al., 2017; Condit et al., 2004; Huete et al., 2006; Jones et al., 2014; M.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S. J. Wright et al., 1999)</w:t>
      </w:r>
      <w:r>
        <w:t xml:space="preserve">.</w:t>
      </w:r>
    </w:p>
    <w:p>
      <w:pPr>
        <w:pStyle w:val="BodyText"/>
      </w:pPr>
      <w:r>
        <w:t xml:space="preserve">Despite this knowledge, models of plant population dynamics have rarely included the effects of environmental drivers.</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challenge,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SPEI—both positive (unusually high precipitation) and negative (drought conditions)—led to declines in the probability of individual survival in both habitat types,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(Criley &amp; Lekawatana, 1994)</w:t>
      </w:r>
      <w:r>
        <w:t xml:space="preserve">.</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while droughts can kill some tropical trees immediately</w:t>
      </w:r>
      <w:r>
        <w:t xml:space="preserve"> </w:t>
      </w:r>
      <w:r>
        <w:t xml:space="preserve">(W. F. Laurance et al., 2001)</w:t>
      </w:r>
      <w:r>
        <w:t xml:space="preserve">, others take three years or more</w:t>
      </w:r>
      <w:r>
        <w:t xml:space="preserve"> </w:t>
      </w:r>
      <w:r>
        <w:t xml:space="preserve">(Criley &amp; Lekawatana, 1994)</w:t>
      </w:r>
      <w:r>
        <w:t xml:space="preserve">.</w:t>
      </w:r>
      <w:r>
        <w:t xml:space="preserve"> </w:t>
      </w:r>
      <w:r>
        <w:t xml:space="preserve">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w:t>
      </w:r>
      <w:r>
        <w:t xml:space="preserve"> </w:t>
      </w:r>
      <w:r>
        <w:t xml:space="preserve">Similar delayed changes in the local environment could also influence the foraging behavior of</w:t>
      </w:r>
      <w:r>
        <w:t xml:space="preserve"> </w:t>
      </w:r>
      <w:r>
        <w:rPr>
          <w:iCs/>
          <w:i/>
        </w:rPr>
        <w:t xml:space="preserve">H. acuminata</w:t>
      </w:r>
      <w:r>
        <w:t xml:space="preserve">’s pollinators</w:t>
      </w:r>
      <w:r>
        <w:t xml:space="preserve"> </w:t>
      </w:r>
      <w:r>
        <w:t xml:space="preserve">(Bruna et al., 2004; Stouffer &amp; Bierregaard, 1996)</w:t>
      </w:r>
      <w:r>
        <w:t xml:space="preserve"> </w:t>
      </w:r>
      <w:r>
        <w:t xml:space="preserve">and seed dispersers</w:t>
      </w:r>
      <w:r>
        <w:t xml:space="preserve"> </w:t>
      </w:r>
      <w:r>
        <w:t xml:space="preserve">(María Uriarte et al., 2011)</w:t>
      </w:r>
      <w:r>
        <w:t xml:space="preserve">.</w:t>
      </w:r>
      <w:r>
        <w:t xml:space="preserve"> </w:t>
      </w:r>
      <w:r>
        <w:t xml:space="preserve">While more work is needed to explain why the (delayed) effects of SPEI on survival and growth are greater in forest fragments than interiors, it may be due to the proportionately greater amount of litterfall on edges</w:t>
      </w:r>
      <w:r>
        <w:t xml:space="preserve"> </w:t>
      </w:r>
      <w:r>
        <w:t xml:space="preserve">(Vasconcelos &amp; Luizão, 2004)</w:t>
      </w:r>
      <w:r>
        <w:t xml:space="preserve"> </w:t>
      </w:r>
      <w:r>
        <w:t xml:space="preserve">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(W. F. 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35"/>
    <w:bookmarkEnd w:id="36"/>
    <w:bookmarkStart w:id="37" w:name="acknowledgments"/>
    <w:p>
      <w:pPr>
        <w:pStyle w:val="Heading1"/>
      </w:pPr>
      <w:r>
        <w:t xml:space="preserve">Acknowledgments</w:t>
      </w:r>
    </w:p>
    <w:p>
      <w:pPr>
        <w:pStyle w:val="FirstParagraph"/>
      </w:pPr>
      <w:r>
        <w:t xml:space="preserve">We thank Collin Edwards,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_t+1_ / size_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(log2(size_t+1_ / size_t))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from models for a) survival, b) log(size), and c) flowering probability, corresponding to the additive term s_1_(z_i_)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from models for a) survival, b) log(size), and c) flowering probability, corresponding to the additive term s_1_(z_i_)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69" w:name="references"/>
    <w:p>
      <w:pPr>
        <w:pStyle w:val="Heading1"/>
      </w:pPr>
      <w:r>
        <w:t xml:space="preserve">References</w:t>
      </w:r>
    </w:p>
    <w:bookmarkStart w:id="268"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6"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5">
        <w:r>
          <w:rPr>
            <w:rStyle w:val="Hyperlink"/>
          </w:rPr>
          <w:t xml:space="preserve">https://doi.org/10.1111/btp.12829</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5">
        <w:r>
          <w:rPr>
            <w:rStyle w:val="Hyperlink"/>
          </w:rPr>
          <w:t xml:space="preserve">https://doi.org/10.1007/s13595-015-0522-5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1">
        <w:r>
          <w:rPr>
            <w:rStyle w:val="Hyperlink"/>
          </w:rPr>
          <w:t xml:space="preserve">https://doi.org/10.1038/45963</w:t>
        </w:r>
      </w:hyperlink>
    </w:p>
    <w:bookmarkEnd w:id="72"/>
    <w:bookmarkStart w:id="74"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3">
        <w:r>
          <w:rPr>
            <w:rStyle w:val="Hyperlink"/>
          </w:rPr>
          <w:t xml:space="preserve">https://doi.org/10.1007/s00442-002-0956-y</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 effects of habitat fragmentation on a tropical herb: Life-table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6"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4">
        <w:r>
          <w:rPr>
            <w:rStyle w:val="Hyperlink"/>
          </w:rPr>
          <w:t xml:space="preserve">https://doi.org/10.1016/j.biocon.2010.11.015</w:t>
        </w:r>
      </w:hyperlink>
    </w:p>
    <w:bookmarkEnd w:id="125"/>
    <w:bookmarkStart w:id="12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6">
        <w:r>
          <w:rPr>
            <w:rStyle w:val="Hyperlink"/>
          </w:rPr>
          <w:t xml:space="preserve">https://doi.org/10.1016/j.ecolmodel.2019.03.007</w:t>
        </w:r>
      </w:hyperlink>
    </w:p>
    <w:bookmarkEnd w:id="127"/>
    <w:bookmarkStart w:id="12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8">
        <w:r>
          <w:rPr>
            <w:rStyle w:val="Hyperlink"/>
          </w:rPr>
          <w:t xml:space="preserve">https://doi.org/10.18637/jss.v043.i08</w:t>
        </w:r>
      </w:hyperlink>
    </w:p>
    <w:bookmarkEnd w:id="129"/>
    <w:bookmarkStart w:id="13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0">
        <w:r>
          <w:rPr>
            <w:rStyle w:val="Hyperlink"/>
          </w:rPr>
          <w:t xml:space="preserve">https://doi.org/10.1111/biom.12645</w:t>
        </w:r>
      </w:hyperlink>
    </w:p>
    <w:bookmarkEnd w:id="131"/>
    <w:bookmarkStart w:id="13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2">
        <w:r>
          <w:rPr>
            <w:rStyle w:val="Hyperlink"/>
          </w:rPr>
          <w:t xml:space="preserve">https://doi.org/10.2307/2388737</w:t>
        </w:r>
      </w:hyperlink>
    </w:p>
    <w:bookmarkEnd w:id="133"/>
    <w:bookmarkStart w:id="135"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4">
        <w:r>
          <w:rPr>
            <w:rStyle w:val="Hyperlink"/>
          </w:rPr>
          <w:t xml:space="preserve">https://doi.org/10.1111/ele.13659</w:t>
        </w:r>
      </w:hyperlink>
    </w:p>
    <w:bookmarkEnd w:id="135"/>
    <w:bookmarkStart w:id="137"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36">
        <w:r>
          <w:rPr>
            <w:rStyle w:val="Hyperlink"/>
          </w:rPr>
          <w:t xml:space="preserve">https://doi.org/10.1038/ngeo2382</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40">
        <w:r>
          <w:rPr>
            <w:rStyle w:val="Hyperlink"/>
          </w:rPr>
          <w:t xml:space="preserve">https://doi.org/10.1111/j.1365-3040.1996.tb00002.x</w:t>
        </w:r>
      </w:hyperlink>
    </w:p>
    <w:bookmarkEnd w:id="141"/>
    <w:bookmarkStart w:id="143"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2">
        <w:r>
          <w:rPr>
            <w:rStyle w:val="Hyperlink"/>
          </w:rPr>
          <w:t xml:space="preserve">https://doi.org/10.1111/1749-4877.12167</w:t>
        </w:r>
      </w:hyperlink>
    </w:p>
    <w:bookmarkEnd w:id="143"/>
    <w:bookmarkStart w:id="145"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4">
        <w:r>
          <w:rPr>
            <w:rStyle w:val="Hyperlink"/>
          </w:rPr>
          <w:t xml:space="preserve">https://doi.org/10.2307/1941152</w:t>
        </w:r>
      </w:hyperlink>
    </w:p>
    <w:bookmarkEnd w:id="145"/>
    <w:bookmarkStart w:id="147"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6">
        <w:r>
          <w:rPr>
            <w:rStyle w:val="Hyperlink"/>
          </w:rPr>
          <w:t xml:space="preserve">https://doi.org/10.1029/2005GL025583</w:t>
        </w:r>
      </w:hyperlink>
    </w:p>
    <w:bookmarkEnd w:id="147"/>
    <w:bookmarkStart w:id="149"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8">
        <w:r>
          <w:rPr>
            <w:rStyle w:val="Hyperlink"/>
          </w:rPr>
          <w:t xml:space="preserve">https://doi.org/10.5194/bg-2021-30</w:t>
        </w:r>
      </w:hyperlink>
    </w:p>
    <w:bookmarkEnd w:id="149"/>
    <w:bookmarkStart w:id="151"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0">
        <w:r>
          <w:rPr>
            <w:rStyle w:val="Hyperlink"/>
          </w:rPr>
          <w:t xml:space="preserve">https://doi.org/10.1088/1748-9326/9/12/124021</w:t>
        </w:r>
      </w:hyperlink>
    </w:p>
    <w:bookmarkEnd w:id="151"/>
    <w:bookmarkStart w:id="153"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2">
        <w:r>
          <w:rPr>
            <w:rStyle w:val="Hyperlink"/>
          </w:rPr>
          <w:t xml:space="preserve">https://doi.org/10.1111/ele.13485</w:t>
        </w:r>
      </w:hyperlink>
    </w:p>
    <w:bookmarkEnd w:id="153"/>
    <w:bookmarkStart w:id="155"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4">
        <w:r>
          <w:rPr>
            <w:rStyle w:val="Hyperlink"/>
          </w:rPr>
          <w:t xml:space="preserve">https://doi.org/10.1111/1365-2435.13145</w:t>
        </w:r>
      </w:hyperlink>
    </w:p>
    <w:bookmarkEnd w:id="155"/>
    <w:bookmarkStart w:id="157"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w:t>
      </w:r>
      <w:r>
        <w:t xml:space="preserve"> </w:t>
      </w:r>
      <w:r>
        <w:rPr>
          <w:iCs/>
          <w:i/>
        </w:rPr>
        <w:t xml:space="preserve">Evolution</w:t>
      </w:r>
      <w:r>
        <w:t xml:space="preserve">,</w:t>
      </w:r>
      <w:r>
        <w:t xml:space="preserve"> </w:t>
      </w:r>
      <w:r>
        <w:rPr>
          <w:iCs/>
          <w:i/>
        </w:rPr>
        <w:t xml:space="preserve">37</w:t>
      </w:r>
      <w:r>
        <w:t xml:space="preserve">(4), 735–744.</w:t>
      </w:r>
      <w:r>
        <w:t xml:space="preserve"> </w:t>
      </w:r>
      <w:hyperlink r:id="rId156">
        <w:r>
          <w:rPr>
            <w:rStyle w:val="Hyperlink"/>
          </w:rPr>
          <w:t xml:space="preserve">https://doi.org/10.2307/2407915</w:t>
        </w:r>
      </w:hyperlink>
    </w:p>
    <w:bookmarkEnd w:id="157"/>
    <w:bookmarkStart w:id="158"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8"/>
    <w:bookmarkStart w:id="160"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9">
        <w:r>
          <w:rPr>
            <w:rStyle w:val="Hyperlink"/>
          </w:rPr>
          <w:t xml:space="preserve">https://doi.org/10.1890/14-0330.1</w:t>
        </w:r>
      </w:hyperlink>
    </w:p>
    <w:bookmarkEnd w:id="160"/>
    <w:bookmarkStart w:id="161"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1"/>
    <w:bookmarkStart w:id="163" w:name="ref-laurance2006"/>
    <w:p>
      <w:pPr>
        <w:pStyle w:val="Bibliography"/>
      </w:pPr>
      <w:r>
        <w:t xml:space="preserve">Laurance, William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2">
        <w:r>
          <w:rPr>
            <w:rStyle w:val="Hyperlink"/>
          </w:rPr>
          <w:t xml:space="preserve">https://doi.org/10.1073/pnas.0609048103</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6">
        <w:r>
          <w:rPr>
            <w:rStyle w:val="Hyperlink"/>
          </w:rPr>
          <w:t xml:space="preserve">https://doi.org/10.1038/nature12540</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79">
        <w:r>
          <w:rPr>
            <w:rStyle w:val="Hyperlink"/>
          </w:rPr>
          <w:t xml:space="preserve">https://doi.org/10.1007/BF00320821</w:t>
        </w:r>
      </w:hyperlink>
    </w:p>
    <w:bookmarkEnd w:id="180"/>
    <w:bookmarkStart w:id="182"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81">
        <w:r>
          <w:rPr>
            <w:rStyle w:val="Hyperlink"/>
          </w:rPr>
          <w:t xml:space="preserve">https://doi.org/10.1007/978-1-4613-1163-8_7</w:t>
        </w:r>
      </w:hyperlink>
    </w:p>
    <w:bookmarkEnd w:id="182"/>
    <w:bookmarkStart w:id="183"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3"/>
    <w:bookmarkStart w:id="185"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4">
        <w:r>
          <w:rPr>
            <w:rStyle w:val="Hyperlink"/>
          </w:rPr>
          <w:t xml:space="preserve">https://doi.org/10.1016/j.foreco.2003.10.013</w:t>
        </w:r>
      </w:hyperlink>
    </w:p>
    <w:bookmarkEnd w:id="185"/>
    <w:bookmarkStart w:id="187"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6">
        <w:r>
          <w:rPr>
            <w:rStyle w:val="Hyperlink"/>
          </w:rPr>
          <w:t xml:space="preserve">https://doi.org/10.9735/0975-3710.10.3.5137-5139</w:t>
        </w:r>
      </w:hyperlink>
    </w:p>
    <w:bookmarkEnd w:id="187"/>
    <w:bookmarkStart w:id="189"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8">
        <w:r>
          <w:rPr>
            <w:rStyle w:val="Hyperlink"/>
          </w:rPr>
          <w:t xml:space="preserve">https://doi.org/10.1111/ele.12399</w:t>
        </w:r>
      </w:hyperlink>
    </w:p>
    <w:bookmarkEnd w:id="189"/>
    <w:bookmarkStart w:id="191"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0">
        <w:r>
          <w:rPr>
            <w:rStyle w:val="Hyperlink"/>
          </w:rPr>
          <w:t xml:space="preserve">https://doi.org/10.1038/nclimate2746</w:t>
        </w:r>
      </w:hyperlink>
    </w:p>
    <w:bookmarkEnd w:id="191"/>
    <w:bookmarkStart w:id="193"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2">
        <w:r>
          <w:rPr>
            <w:rStyle w:val="Hyperlink"/>
          </w:rPr>
          <w:t xml:space="preserve">https://doi.org/10.1111/1365-2656.13467</w:t>
        </w:r>
      </w:hyperlink>
    </w:p>
    <w:bookmarkEnd w:id="193"/>
    <w:bookmarkStart w:id="194"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4"/>
    <w:bookmarkStart w:id="196"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5">
        <w:r>
          <w:rPr>
            <w:rStyle w:val="Hyperlink"/>
          </w:rPr>
          <w:t xml:space="preserve">https://doi.org/10.1111/j.1469-8137.2010.03359.x</w:t>
        </w:r>
      </w:hyperlink>
    </w:p>
    <w:bookmarkEnd w:id="196"/>
    <w:bookmarkStart w:id="198"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7">
        <w:r>
          <w:rPr>
            <w:rStyle w:val="Hyperlink"/>
          </w:rPr>
          <w:t xml:space="preserve">https://doi.org/10.1016/j.ecoinf.2020.101178</w:t>
        </w:r>
      </w:hyperlink>
    </w:p>
    <w:bookmarkEnd w:id="198"/>
    <w:bookmarkStart w:id="200"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9">
        <w:r>
          <w:rPr>
            <w:rStyle w:val="Hyperlink"/>
          </w:rPr>
          <w:t xml:space="preserve">https://doi.org/10.1007/s11240-012-0160-7</w:t>
        </w:r>
      </w:hyperlink>
    </w:p>
    <w:bookmarkEnd w:id="200"/>
    <w:bookmarkStart w:id="201"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1"/>
    <w:bookmarkStart w:id="203"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2">
        <w:r>
          <w:rPr>
            <w:rStyle w:val="Hyperlink"/>
          </w:rPr>
          <w:t xml:space="preserve">https://doi.org/10.1590/1809-43921992224534</w:t>
        </w:r>
      </w:hyperlink>
    </w:p>
    <w:bookmarkEnd w:id="203"/>
    <w:bookmarkStart w:id="204"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4"/>
    <w:bookmarkStart w:id="206"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5">
        <w:r>
          <w:rPr>
            <w:rStyle w:val="Hyperlink"/>
          </w:rPr>
          <w:t xml:space="preserve">https://doi.org/10.7717/peerj.9958</w:t>
        </w:r>
      </w:hyperlink>
    </w:p>
    <w:bookmarkEnd w:id="206"/>
    <w:bookmarkStart w:id="208"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7">
        <w:r>
          <w:rPr>
            <w:rStyle w:val="Hyperlink"/>
          </w:rPr>
          <w:t xml:space="preserve">https://doi.org/10.1017/S0266467498000571</w:t>
        </w:r>
      </w:hyperlink>
    </w:p>
    <w:bookmarkEnd w:id="208"/>
    <w:bookmarkStart w:id="210"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9">
        <w:r>
          <w:rPr>
            <w:rStyle w:val="Hyperlink"/>
          </w:rPr>
          <w:t xml:space="preserve">https://doi.org/10.1111/1365-2745.12334</w:t>
        </w:r>
      </w:hyperlink>
    </w:p>
    <w:bookmarkEnd w:id="210"/>
    <w:bookmarkStart w:id="212"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1">
        <w:r>
          <w:rPr>
            <w:rStyle w:val="Hyperlink"/>
          </w:rPr>
          <w:t xml:space="preserve">https://doi.org/10.1046/j.1365-2745.1999.00332.x</w:t>
        </w:r>
      </w:hyperlink>
    </w:p>
    <w:bookmarkEnd w:id="212"/>
    <w:bookmarkStart w:id="214"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3">
        <w:r>
          <w:rPr>
            <w:rStyle w:val="Hyperlink"/>
          </w:rPr>
          <w:t xml:space="preserve">https://doi.org/10.1111/btp.12355</w:t>
        </w:r>
      </w:hyperlink>
    </w:p>
    <w:bookmarkEnd w:id="214"/>
    <w:bookmarkStart w:id="216"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5">
        <w:r>
          <w:rPr>
            <w:rStyle w:val="Hyperlink"/>
          </w:rPr>
          <w:t xml:space="preserve">https://doi.org/10.1038/nature23021</w:t>
        </w:r>
      </w:hyperlink>
    </w:p>
    <w:bookmarkEnd w:id="216"/>
    <w:bookmarkStart w:id="218"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7">
        <w:r>
          <w:rPr>
            <w:rStyle w:val="Hyperlink"/>
          </w:rPr>
          <w:t xml:space="preserve">https://doi.org/10.1002/ecy.2677</w:t>
        </w:r>
      </w:hyperlink>
    </w:p>
    <w:bookmarkEnd w:id="218"/>
    <w:bookmarkStart w:id="219" w:name="ref-selwood2015"/>
    <w:p>
      <w:pPr>
        <w:pStyle w:val="Bibliography"/>
      </w:pPr>
      <w:r>
        <w:t xml:space="preserve">Selwood, K. E., McGeoch, M. A., &amp; Mac Nally, R. (2015). The effects of climate change and land-use change on demographic rates and population viability.</w:t>
      </w:r>
      <w:r>
        <w:t xml:space="preserve"> </w:t>
      </w:r>
      <w:r>
        <w:rPr>
          <w:iCs/>
          <w:i/>
        </w:rPr>
        <w:t xml:space="preserve">Biol Rev Camb Philos Soc</w:t>
      </w:r>
      <w:r>
        <w:t xml:space="preserve">,</w:t>
      </w:r>
      <w:r>
        <w:t xml:space="preserve"> </w:t>
      </w:r>
      <w:r>
        <w:rPr>
          <w:iCs/>
          <w:i/>
        </w:rPr>
        <w:t xml:space="preserve">90</w:t>
      </w:r>
      <w:r>
        <w:t xml:space="preserve">(3), 837–853.</w:t>
      </w:r>
    </w:p>
    <w:bookmarkEnd w:id="219"/>
    <w:bookmarkStart w:id="221"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20">
        <w:r>
          <w:rPr>
            <w:rStyle w:val="Hyperlink"/>
          </w:rPr>
          <w:t xml:space="preserve">https://doi.org/10.1007/s10722-005-5725-4</w:t>
        </w:r>
      </w:hyperlink>
    </w:p>
    <w:bookmarkEnd w:id="221"/>
    <w:bookmarkStart w:id="223"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2">
        <w:r>
          <w:rPr>
            <w:rStyle w:val="Hyperlink"/>
          </w:rPr>
          <w:t xml:space="preserve">https://doi.org/10.1038/s41559-020-01368-x</w:t>
        </w:r>
      </w:hyperlink>
    </w:p>
    <w:bookmarkEnd w:id="223"/>
    <w:bookmarkStart w:id="225"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4">
        <w:r>
          <w:rPr>
            <w:rStyle w:val="Hyperlink"/>
          </w:rPr>
          <w:t xml:space="preserve">https://doi.org/10.1111/j.1365-2745.2005.01008.x</w:t>
        </w:r>
      </w:hyperlink>
    </w:p>
    <w:bookmarkEnd w:id="225"/>
    <w:bookmarkStart w:id="227"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6">
        <w:r>
          <w:rPr>
            <w:rStyle w:val="Hyperlink"/>
          </w:rPr>
          <w:t xml:space="preserve">https://doi.org/10.2307/2387865</w:t>
        </w:r>
      </w:hyperlink>
    </w:p>
    <w:bookmarkEnd w:id="227"/>
    <w:bookmarkStart w:id="229"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28">
        <w:r>
          <w:rPr>
            <w:rStyle w:val="Hyperlink"/>
          </w:rPr>
          <w:t xml:space="preserve">https://doi.org/10.2307/1934961</w:t>
        </w:r>
      </w:hyperlink>
    </w:p>
    <w:bookmarkEnd w:id="229"/>
    <w:bookmarkStart w:id="230"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0"/>
    <w:bookmarkStart w:id="232"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1">
        <w:r>
          <w:rPr>
            <w:rStyle w:val="Hyperlink"/>
          </w:rPr>
          <w:t xml:space="preserve">https://doi.org/10.1038/nature25508</w:t>
        </w:r>
      </w:hyperlink>
    </w:p>
    <w:bookmarkEnd w:id="232"/>
    <w:bookmarkStart w:id="234"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3">
        <w:r>
          <w:rPr>
            <w:rStyle w:val="Hyperlink"/>
          </w:rPr>
          <w:t xml:space="preserve">https://doi.org/10.1111/2041-210X.12486</w:t>
        </w:r>
      </w:hyperlink>
    </w:p>
    <w:bookmarkEnd w:id="234"/>
    <w:bookmarkStart w:id="236"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5">
        <w:r>
          <w:rPr>
            <w:rStyle w:val="Hyperlink"/>
          </w:rPr>
          <w:t xml:space="preserve">https://doi.org/10.1002/ecy.2163</w:t>
        </w:r>
      </w:hyperlink>
    </w:p>
    <w:bookmarkEnd w:id="236"/>
    <w:bookmarkStart w:id="238"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7">
        <w:r>
          <w:rPr>
            <w:rStyle w:val="Hyperlink"/>
          </w:rPr>
          <w:t xml:space="preserve">https://doi.org/10.1111/j.1744-7429.2003.tb00278.x</w:t>
        </w:r>
      </w:hyperlink>
    </w:p>
    <w:bookmarkEnd w:id="238"/>
    <w:bookmarkStart w:id="240" w:name="X2990ffae4b5729b697c683600dc97fa0cd90c99"/>
    <w:p>
      <w:pPr>
        <w:pStyle w:val="Bibliography"/>
      </w:pPr>
      <w:r>
        <w:t xml:space="preserve">Uriarte, María,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39">
        <w:r>
          <w:rPr>
            <w:rStyle w:val="Hyperlink"/>
          </w:rPr>
          <w:t xml:space="preserve">https://doi.org/10.1890/10-0709.1</w:t>
        </w:r>
      </w:hyperlink>
    </w:p>
    <w:bookmarkEnd w:id="240"/>
    <w:bookmarkStart w:id="242"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1">
        <w:r>
          <w:rPr>
            <w:rStyle w:val="Hyperlink"/>
          </w:rPr>
          <w:t xml:space="preserve">https://doi.org/10.1111/gcb.14000</w:t>
        </w:r>
      </w:hyperlink>
    </w:p>
    <w:bookmarkEnd w:id="242"/>
    <w:bookmarkStart w:id="244" w:name="ref-uriarteImpactsClimateVariability2016"/>
    <w:p>
      <w:pPr>
        <w:pStyle w:val="Bibliography"/>
      </w:pPr>
      <w:r>
        <w:t xml:space="preserve">Uriarte, María,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3">
        <w:r>
          <w:rPr>
            <w:rStyle w:val="Hyperlink"/>
          </w:rPr>
          <w:t xml:space="preserve">https://doi.org/10.1111/btp.12380</w:t>
        </w:r>
      </w:hyperlink>
    </w:p>
    <w:bookmarkEnd w:id="244"/>
    <w:bookmarkStart w:id="246"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5">
        <w:r>
          <w:rPr>
            <w:rStyle w:val="Hyperlink"/>
          </w:rPr>
          <w:t xml:space="preserve">https://doi.org/10.1890/03-5093</w:t>
        </w:r>
      </w:hyperlink>
    </w:p>
    <w:bookmarkEnd w:id="246"/>
    <w:bookmarkStart w:id="248"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7">
        <w:r>
          <w:rPr>
            <w:rStyle w:val="Hyperlink"/>
          </w:rPr>
          <w:t xml:space="preserve">https://doi.org/10.1175/2009JCLI2909.1</w:t>
        </w:r>
      </w:hyperlink>
    </w:p>
    <w:bookmarkEnd w:id="248"/>
    <w:bookmarkStart w:id="250"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49">
        <w:r>
          <w:rPr>
            <w:rStyle w:val="Hyperlink"/>
          </w:rPr>
          <w:t xml:space="preserve">https://doi.org/10.3732/ajb.1500041</w:t>
        </w:r>
      </w:hyperlink>
    </w:p>
    <w:bookmarkEnd w:id="250"/>
    <w:bookmarkStart w:id="252"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1">
        <w:r>
          <w:rPr>
            <w:rStyle w:val="Hyperlink"/>
          </w:rPr>
          <w:t xml:space="preserve">https://doi.org/10.1111/1365-2745.12757</w:t>
        </w:r>
      </w:hyperlink>
    </w:p>
    <w:bookmarkEnd w:id="252"/>
    <w:bookmarkStart w:id="254"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3">
        <w:r>
          <w:rPr>
            <w:rStyle w:val="Hyperlink"/>
          </w:rPr>
          <w:t xml:space="preserve">https://doi.org/10.1111/1365-2745.12369</w:t>
        </w:r>
      </w:hyperlink>
    </w:p>
    <w:bookmarkEnd w:id="254"/>
    <w:bookmarkStart w:id="256"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5">
        <w:r>
          <w:rPr>
            <w:rStyle w:val="Hyperlink"/>
          </w:rPr>
          <w:t xml:space="preserve">https://doi.org/10.1046/j.1523-1739.2000.99298.x</w:t>
        </w:r>
      </w:hyperlink>
    </w:p>
    <w:bookmarkEnd w:id="256"/>
    <w:bookmarkStart w:id="257"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7"/>
    <w:bookmarkStart w:id="259"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8">
        <w:r>
          <w:rPr>
            <w:rStyle w:val="Hyperlink"/>
          </w:rPr>
          <w:t xml:space="preserve">https://doi.org/10.1016/0169-5347(92)90171-7</w:t>
        </w:r>
      </w:hyperlink>
    </w:p>
    <w:bookmarkEnd w:id="259"/>
    <w:bookmarkStart w:id="261"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0">
        <w:r>
          <w:rPr>
            <w:rStyle w:val="Hyperlink"/>
          </w:rPr>
          <w:t xml:space="preserve">https://doi.org/10.1111/j.1461-0248.2005.00851.x</w:t>
        </w:r>
      </w:hyperlink>
    </w:p>
    <w:bookmarkEnd w:id="261"/>
    <w:bookmarkStart w:id="262"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2"/>
    <w:bookmarkStart w:id="264"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3">
        <w:r>
          <w:rPr>
            <w:rStyle w:val="Hyperlink"/>
          </w:rPr>
          <w:t xml:space="preserve">https://doi.org/10.1002/joc.4518</w:t>
        </w:r>
      </w:hyperlink>
    </w:p>
    <w:bookmarkEnd w:id="264"/>
    <w:bookmarkStart w:id="265"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5"/>
    <w:bookmarkStart w:id="267"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6">
        <w:r>
          <w:rPr>
            <w:rStyle w:val="Hyperlink"/>
          </w:rPr>
          <w:t xml:space="preserve">https://doi.org/10.1088/1748-9326/3/1/014002</w:t>
        </w:r>
      </w:hyperlink>
    </w:p>
    <w:bookmarkEnd w:id="267"/>
    <w:bookmarkEnd w:id="268"/>
    <w:p>
      <w:r>
        <w:br w:type="page"/>
      </w:r>
    </w:p>
    <w:bookmarkEnd w:id="269"/>
    <w:bookmarkStart w:id="270"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anomalously high leaf flushing at start of drought followed by increased litterfall during the drought. Dry season droughts result in green-up, but not wet season droughts. During drought, old leaves are shed and new leaves are maintained. 2-5 months for newly flushed leaves to fully expand</w:t>
      </w:r>
    </w:p>
    <w:bookmarkEnd w:id="270"/>
    <w:bookmarkStart w:id="272"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71" w:name="colophon"/>
    <w:p>
      <w:pPr>
        <w:pStyle w:val="Heading3"/>
      </w:pPr>
      <w:r>
        <w:t xml:space="preserve">Colophon</w:t>
      </w:r>
    </w:p>
    <w:p>
      <w:pPr>
        <w:pStyle w:val="FirstParagraph"/>
      </w:pPr>
      <w:r>
        <w:t xml:space="preserve">This report was generated on 2021-05-17 16:15:50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2021-05-17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/private/var/folders/b_/2vfnxxls5vs401tmhhb3wqdh0000gp/T/Rtmp0hpCnK/renv-system-library</w:t>
      </w:r>
      <w:r>
        <w:br/>
      </w:r>
      <w:r>
        <w:rPr>
          <w:rStyle w:val="VerbatimChar"/>
        </w:rPr>
        <w:t xml:space="preserve">#&gt; [3] /private/var/folders/b_/2vfnxxls5vs401tmhhb3wqdh0000gp/T/Rtmp5Xw1KC/renv-system-library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[ffb25b3] 2021-05-17: add function to plot fold change in size</w:t>
      </w:r>
    </w:p>
    <w:bookmarkEnd w:id="271"/>
    <w:bookmarkEnd w:id="272"/>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35" Target="https://doi.org/10.1002/ecy.2163" TargetMode="External" /><Relationship Type="http://schemas.openxmlformats.org/officeDocument/2006/relationships/hyperlink" Id="rId217" Target="https://doi.org/10.1002/ecy.2677" TargetMode="External" /><Relationship Type="http://schemas.openxmlformats.org/officeDocument/2006/relationships/hyperlink" Id="rId263" Target="https://doi.org/10.1002/joc.4518" TargetMode="External" /><Relationship Type="http://schemas.openxmlformats.org/officeDocument/2006/relationships/hyperlink" Id="rId181" Target="https://doi.org/10.1007/978-1-4613-1163-8_7" TargetMode="External" /><Relationship Type="http://schemas.openxmlformats.org/officeDocument/2006/relationships/hyperlink" Id="rId179" Target="https://doi.org/10.1007/BF00320821" TargetMode="External" /><Relationship Type="http://schemas.openxmlformats.org/officeDocument/2006/relationships/hyperlink" Id="rId73"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20" Target="https://doi.org/10.1007/s10722-005-5725-4" TargetMode="External" /><Relationship Type="http://schemas.openxmlformats.org/officeDocument/2006/relationships/hyperlink" Id="rId199"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58"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7"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7"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6" Target="https://doi.org/10.1038/nature12540" TargetMode="External" /><Relationship Type="http://schemas.openxmlformats.org/officeDocument/2006/relationships/hyperlink" Id="rId215" Target="https://doi.org/10.1038/nature23021" TargetMode="External" /><Relationship Type="http://schemas.openxmlformats.org/officeDocument/2006/relationships/hyperlink" Id="rId231"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90" Target="https://doi.org/10.1038/nclimate2746" TargetMode="External" /><Relationship Type="http://schemas.openxmlformats.org/officeDocument/2006/relationships/hyperlink" Id="rId136" Target="https://doi.org/10.1038/ngeo2382" TargetMode="External" /><Relationship Type="http://schemas.openxmlformats.org/officeDocument/2006/relationships/hyperlink" Id="rId222" Target="https://doi.org/10.1038/s41559-020-01368-x" TargetMode="External" /><Relationship Type="http://schemas.openxmlformats.org/officeDocument/2006/relationships/hyperlink" Id="rId211"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5" Target="https://doi.org/10.1046/j.1523-1739.2000.99298.x" TargetMode="External" /><Relationship Type="http://schemas.openxmlformats.org/officeDocument/2006/relationships/hyperlink" Id="rId77"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6"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09" Target="https://doi.org/10.1111/1365-2745.12334" TargetMode="External" /><Relationship Type="http://schemas.openxmlformats.org/officeDocument/2006/relationships/hyperlink" Id="rId253"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1"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3"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60" Target="https://doi.org/10.1111/btp.12010" TargetMode="External" /><Relationship Type="http://schemas.openxmlformats.org/officeDocument/2006/relationships/hyperlink" Id="rId213" Target="https://doi.org/10.1111/btp.12355" TargetMode="External" /><Relationship Type="http://schemas.openxmlformats.org/officeDocument/2006/relationships/hyperlink" Id="rId243"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188"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1"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4" Target="https://doi.org/10.1111/j.1365-2745.2005.01008.x" TargetMode="External" /><Relationship Type="http://schemas.openxmlformats.org/officeDocument/2006/relationships/hyperlink" Id="rId140" Target="https://doi.org/10.1111/j.1365-3040.1996.tb00002.x" TargetMode="External" /><Relationship Type="http://schemas.openxmlformats.org/officeDocument/2006/relationships/hyperlink" Id="rId260" Target="https://doi.org/10.1111/j.1461-0248.2005.00851.x" TargetMode="External" /><Relationship Type="http://schemas.openxmlformats.org/officeDocument/2006/relationships/hyperlink" Id="rId195"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7"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47"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2"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245"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239"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28"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26"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156" Target="https://doi.org/10.2307/2407915" TargetMode="External" /><Relationship Type="http://schemas.openxmlformats.org/officeDocument/2006/relationships/hyperlink" Id="rId249" Target="https://doi.org/10.3732/ajb.1500041" TargetMode="External" /><Relationship Type="http://schemas.openxmlformats.org/officeDocument/2006/relationships/hyperlink" Id="rId85"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5" Target="https://doi.org/10.7717/peerj.9958" TargetMode="External" /><Relationship Type="http://schemas.openxmlformats.org/officeDocument/2006/relationships/hyperlink" Id="rId186"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35" Target="https://doi.org/10.1002/ecy.2163" TargetMode="External" /><Relationship Type="http://schemas.openxmlformats.org/officeDocument/2006/relationships/hyperlink" Id="rId217" Target="https://doi.org/10.1002/ecy.2677" TargetMode="External" /><Relationship Type="http://schemas.openxmlformats.org/officeDocument/2006/relationships/hyperlink" Id="rId263" Target="https://doi.org/10.1002/joc.4518" TargetMode="External" /><Relationship Type="http://schemas.openxmlformats.org/officeDocument/2006/relationships/hyperlink" Id="rId181" Target="https://doi.org/10.1007/978-1-4613-1163-8_7" TargetMode="External" /><Relationship Type="http://schemas.openxmlformats.org/officeDocument/2006/relationships/hyperlink" Id="rId179" Target="https://doi.org/10.1007/BF00320821" TargetMode="External" /><Relationship Type="http://schemas.openxmlformats.org/officeDocument/2006/relationships/hyperlink" Id="rId73"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20" Target="https://doi.org/10.1007/s10722-005-5725-4" TargetMode="External" /><Relationship Type="http://schemas.openxmlformats.org/officeDocument/2006/relationships/hyperlink" Id="rId199"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58"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7"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7"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6" Target="https://doi.org/10.1038/nature12540" TargetMode="External" /><Relationship Type="http://schemas.openxmlformats.org/officeDocument/2006/relationships/hyperlink" Id="rId215" Target="https://doi.org/10.1038/nature23021" TargetMode="External" /><Relationship Type="http://schemas.openxmlformats.org/officeDocument/2006/relationships/hyperlink" Id="rId231"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90" Target="https://doi.org/10.1038/nclimate2746" TargetMode="External" /><Relationship Type="http://schemas.openxmlformats.org/officeDocument/2006/relationships/hyperlink" Id="rId136" Target="https://doi.org/10.1038/ngeo2382" TargetMode="External" /><Relationship Type="http://schemas.openxmlformats.org/officeDocument/2006/relationships/hyperlink" Id="rId222" Target="https://doi.org/10.1038/s41559-020-01368-x" TargetMode="External" /><Relationship Type="http://schemas.openxmlformats.org/officeDocument/2006/relationships/hyperlink" Id="rId211"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5" Target="https://doi.org/10.1046/j.1523-1739.2000.99298.x" TargetMode="External" /><Relationship Type="http://schemas.openxmlformats.org/officeDocument/2006/relationships/hyperlink" Id="rId77"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6"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09" Target="https://doi.org/10.1111/1365-2745.12334" TargetMode="External" /><Relationship Type="http://schemas.openxmlformats.org/officeDocument/2006/relationships/hyperlink" Id="rId253"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1"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3"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60" Target="https://doi.org/10.1111/btp.12010" TargetMode="External" /><Relationship Type="http://schemas.openxmlformats.org/officeDocument/2006/relationships/hyperlink" Id="rId213" Target="https://doi.org/10.1111/btp.12355" TargetMode="External" /><Relationship Type="http://schemas.openxmlformats.org/officeDocument/2006/relationships/hyperlink" Id="rId243"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188"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1"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4" Target="https://doi.org/10.1111/j.1365-2745.2005.01008.x" TargetMode="External" /><Relationship Type="http://schemas.openxmlformats.org/officeDocument/2006/relationships/hyperlink" Id="rId140" Target="https://doi.org/10.1111/j.1365-3040.1996.tb00002.x" TargetMode="External" /><Relationship Type="http://schemas.openxmlformats.org/officeDocument/2006/relationships/hyperlink" Id="rId260" Target="https://doi.org/10.1111/j.1461-0248.2005.00851.x" TargetMode="External" /><Relationship Type="http://schemas.openxmlformats.org/officeDocument/2006/relationships/hyperlink" Id="rId195"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7"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47"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2"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245"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239"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28"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26"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156" Target="https://doi.org/10.2307/2407915" TargetMode="External" /><Relationship Type="http://schemas.openxmlformats.org/officeDocument/2006/relationships/hyperlink" Id="rId249" Target="https://doi.org/10.3732/ajb.1500041" TargetMode="External" /><Relationship Type="http://schemas.openxmlformats.org/officeDocument/2006/relationships/hyperlink" Id="rId85"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5" Target="https://doi.org/10.7717/peerj.9958" TargetMode="External" /><Relationship Type="http://schemas.openxmlformats.org/officeDocument/2006/relationships/hyperlink" Id="rId186"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2021-05-17T20:15:55Z</dcterms:created>
  <dcterms:modified xsi:type="dcterms:W3CDTF">2021-05-17T20:15:55Z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17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