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3.png" ContentType="image/png"/>
  <Override PartName="/word/media/rId42.png" ContentType="image/png"/>
  <Override PartName="/word/media/rId40.png" ContentType="image/png"/>
  <Override PartName="/word/media/rId41.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leads</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13</w:t>
      </w:r>
      <w:r>
        <w:t xml:space="preserve"> </w:t>
      </w:r>
      <w:r>
        <w:t xml:space="preserve">May,</w:t>
      </w:r>
      <w:r>
        <w:t xml:space="preserve"> </w:t>
      </w:r>
      <w:r>
        <w:t xml:space="preserve">2021</w:t>
      </w:r>
    </w:p>
    <w:p>
      <w:pPr>
        <w:pStyle w:val="Abstract"/>
      </w:pPr>
      <w:r>
        <w:t xml:space="preserve">Text</w:t>
      </w:r>
      <w:r>
        <w:t xml:space="preserve"> </w:t>
      </w:r>
      <w:r>
        <w:t xml:space="preserve">of</w:t>
      </w:r>
      <w:r>
        <w:t xml:space="preserve"> </w:t>
      </w:r>
      <w:r>
        <w:t xml:space="preserve">abstract.</w:t>
      </w:r>
      <w:r>
        <w:t xml:space="preserve"> </w:t>
      </w:r>
      <w:r>
        <w:t xml:space="preserve">34,281</w:t>
      </w:r>
      <w:r>
        <w:t xml:space="preserve"> </w:t>
      </w:r>
      <w:r>
        <w:t xml:space="preserve">year</w:t>
      </w:r>
      <w:r>
        <w:t xml:space="preserve"> </w:t>
      </w:r>
      <w:r>
        <w:t xml:space="preserve">x</w:t>
      </w:r>
      <w:r>
        <w:t xml:space="preserve"> </w:t>
      </w:r>
      <w:r>
        <w:t xml:space="preserve">individual</w:t>
      </w:r>
      <w:r>
        <w:t xml:space="preserve"> </w:t>
      </w:r>
      <w:r>
        <w:t xml:space="preserve">measurments!</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bookmarkStart w:id="21" w:name="introduction"/>
    <w:p>
      <w:pPr>
        <w:pStyle w:val="Heading1"/>
      </w:pPr>
      <w:r>
        <w:t xml:space="preserve">Introduction</w:t>
      </w:r>
    </w:p>
    <w:p>
      <w:pPr>
        <w:pStyle w:val="FirstParagraph"/>
      </w:pPr>
      <w:r>
        <w:t xml:space="preserve">Tropical deforestation driven by the expansion of agriculture and other human activities is a primary driver of biodiversity loss worldwide</w:t>
      </w:r>
      <w:r>
        <w:t xml:space="preserve"> </w:t>
      </w:r>
      <w:r>
        <w:t xml:space="preserve">(Alroy, 2017; Haddad et al., 2015)</w:t>
      </w:r>
      <w:r>
        <w:t xml:space="preserve">. Deforestation also results in landscapes where the remaining forest can be highly fragmented, with forest remnants of different sizes embedded in a matrix of often highly-contrasting habitat</w:t>
      </w:r>
      <w:r>
        <w:t xml:space="preserve"> </w:t>
      </w:r>
      <w:r>
        <w:t xml:space="preserve">(Bianchi &amp; Haig, 2013; Taubert et al., 2018)</w:t>
      </w:r>
      <w:r>
        <w:t xml:space="preserve">. 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 Fragmentation is associated with myriad ecological changes, including the local and regional extinction of plant species</w:t>
      </w:r>
      <w:r>
        <w:t xml:space="preserve"> </w:t>
      </w:r>
      <w:r>
        <w:t xml:space="preserve">(da Silva &amp; Tabarelli, 2000; William F. Laurance et al., 2006)</w:t>
      </w:r>
      <w:r>
        <w:t xml:space="preserve">. Although the demographic mechanisms responsible these extinctions are poorly understood</w:t>
      </w:r>
      <w:r>
        <w:t xml:space="preserve"> </w:t>
      </w:r>
      <w:r>
        <w:t xml:space="preserve">(Bruna et al., 2009)</w:t>
      </w:r>
      <w:r>
        <w:t xml:space="preserve">, it is often hypothesized that the dramatically altered environmental conditions in fragments</w:t>
      </w:r>
      <w:r>
        <w:t xml:space="preserve"> </w:t>
      </w:r>
      <w:r>
        <w:t xml:space="preserve">(Arroyo-Rodríguez et al., 2017; Didham &amp; Lawton, 1999; Ewers &amp; Banks-Leite, 2013)</w:t>
      </w:r>
      <w:r>
        <w:t xml:space="preserve"> </w:t>
      </w:r>
      <w:r>
        <w:t xml:space="preserve">are driving declines in reproduction, recruitment, or survivorship</w:t>
      </w:r>
      <w:r>
        <w:t xml:space="preserve"> </w:t>
      </w:r>
      <w:r>
        <w:t xml:space="preserve">(Bruna, 1999 ; W. F. Laurance et al., 1998; Zartman et al., 2015)</w:t>
      </w:r>
      <w:r>
        <w:t xml:space="preserve">. Despite the fact that this mechanism is thought to be particularly important in species-rich tropical forests</w:t>
      </w:r>
      <w:r>
        <w:t xml:space="preserve"> </w:t>
      </w:r>
      <w:r>
        <w:t xml:space="preserve">(Betts et al., 2019; Didham &amp; Lawton, 1999; W. F. Laurance et al., 2001)</w:t>
      </w:r>
      <w:r>
        <w:t xml:space="preserve">, efforts to link population-level demographic responses with altered environmental conditions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with more pronounced effects for fragmented populations</w:t>
      </w:r>
      <w:r>
        <w:t xml:space="preserve"> </w:t>
      </w:r>
      <w:r>
        <w:t xml:space="preserve">(Holyoak &amp; Heath, 2016; Oliver et al., 2015)</w:t>
      </w:r>
      <w:r>
        <w:t xml:space="preserve">.</w:t>
      </w:r>
      <w:r>
        <w:t xml:space="preserve"> </w:t>
      </w:r>
      <w:r>
        <w:t xml:space="preserve">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w:t>
      </w:r>
      <w:r>
        <w:t xml:space="preserve"> </w:t>
      </w:r>
      <w:r>
        <w:t xml:space="preserve">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w:t>
      </w:r>
      <w:r>
        <w:t xml:space="preserve"> </w:t>
      </w:r>
      <w:r>
        <w:t xml:space="preserve">Plant populations may be particularly sensitive – an increase in the frequency and severity of extreme precipitation events can have detrimental consequences for survival and reproduction</w:t>
      </w:r>
      <w:r>
        <w:t xml:space="preserve"> </w:t>
      </w:r>
      <w:r>
        <w:t xml:space="preserve">(Esteban et al., 2021; Gaoue et al., 2019)</w:t>
      </w:r>
      <w:r>
        <w:t xml:space="preserve">.</w:t>
      </w:r>
      <w:r>
        <w:t xml:space="preserve"> </w:t>
      </w:r>
      <w:r>
        <w:t xml:space="preserve">This, coupled with the evidence that growth and survivorship are already lower in fragments</w:t>
      </w:r>
      <w:r>
        <w:t xml:space="preserve"> </w:t>
      </w:r>
      <w:r>
        <w:t xml:space="preserve">(Bruna et al., 2002; W. F. Laurance et al., 1998; Zartman et al., 2015)</w:t>
      </w:r>
      <w:r>
        <w:t xml:space="preserve">, has led to speculation that plants in tropical forest fragments are particularly at risk from drought and other climatic extremes</w:t>
      </w:r>
      <w:r>
        <w:t xml:space="preserve"> </w:t>
      </w:r>
      <w:r>
        <w:t xml:space="preserve">(W. F. Laurance et al., 2001; Opdam &amp; Wascher, 2004; Selwood et al., 2015)</w:t>
      </w:r>
      <w:r>
        <w:t xml:space="preserve">.</w:t>
      </w:r>
    </w:p>
    <w:p>
      <w:pPr>
        <w:pStyle w:val="BodyText"/>
      </w:pPr>
      <w:r>
        <w:t xml:space="preserve">Whether the demography of plant populations in tropical forest fragments is more susceptible to drought and other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 Similarly, there is a growing literature on how tropical plants respond to droughts</w:t>
      </w:r>
      <w:r>
        <w:t xml:space="preserve"> </w:t>
      </w:r>
      <w:r>
        <w:t xml:space="preserve">(Esquivel-Muelbert et al., 2019; González-M et al., 2020; María Uriarte et al., 2016)</w:t>
      </w:r>
      <w:r>
        <w:t xml:space="preserve">, but few studies have compared the responses of plants in continuous forest with those in forest fragments</w:t>
      </w:r>
      <w:r>
        <w:t xml:space="preserve"> </w:t>
      </w:r>
      <w:r>
        <w:t xml:space="preserve">(W. F. Laurance et al., 2001)</w:t>
      </w:r>
      <w:r>
        <w:t xml:space="preserve">. Finally, the multi-year data needed to test population-level hypotheses about climate change and fragmentation are scant, especially for tropical systems</w:t>
      </w:r>
      <w:r>
        <w:t xml:space="preserve"> </w:t>
      </w:r>
      <w:r>
        <w:t xml:space="preserve">(Crone et al., 2011; Salguero-Gómez et al., 2015)</w:t>
      </w:r>
      <w:r>
        <w:t xml:space="preserve">. These data are critical not simply because they allow for capturing variation in climatic conditions and the resulting demographic responses</w:t>
      </w:r>
      <w:r>
        <w:t xml:space="preserve"> </w:t>
      </w:r>
      <w:r>
        <w:t xml:space="preserve">(Morris &amp; Doak, 2002; Teller et al., 2016)</w:t>
      </w:r>
      <w:r>
        <w:t xml:space="preserve">. 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 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9"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 </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 While many</w:t>
      </w:r>
      <w:r>
        <w:t xml:space="preserve"> </w:t>
      </w:r>
      <w:r>
        <w:rPr>
          <w:iCs/>
          <w:i/>
        </w:rPr>
        <w:t xml:space="preserve">Heliconia</w:t>
      </w:r>
      <w:r>
        <w:t xml:space="preserve"> </w:t>
      </w:r>
      <w:r>
        <w:t xml:space="preserve">species grow in large patches in trefall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 These species produce fewer infloresences and are pollinated by traplining rather than territorial hummingbirds</w:t>
      </w:r>
      <w:r>
        <w:t xml:space="preserve"> </w:t>
      </w:r>
      <w:r>
        <w:t xml:space="preserve">(Bruna et al., 2004; Stouffer &amp; Bierregaard, 1996)</w:t>
      </w:r>
      <w:r>
        <w:t xml:space="preserve">.</w:t>
      </w:r>
    </w:p>
    <w:p>
      <w:pPr>
        <w:pStyle w:val="BodyText"/>
      </w:pP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(María Uriarte et al., 2011)</w:t>
      </w:r>
      <w:r>
        <w:t xml:space="preserve">.</w:t>
      </w:r>
      <w:r>
        <w:t xml:space="preserve"> </w:t>
      </w:r>
      <w:r>
        <w:t xml:space="preserve">Dispersed seeds germinate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 (</w:t>
      </w:r>
      <w:r>
        <w:rPr>
          <w:bCs/>
          <w:b/>
        </w:rPr>
        <w:t xml:space="preserve">Supplemental__</w:t>
      </w:r>
      <w:r>
        <w:t xml:space="preserve"> </w:t>
      </w:r>
      <w:r>
        <w:t xml:space="preserve">).</w:t>
      </w:r>
      <w:r>
        <w:t xml:space="preserve"> </w:t>
      </w:r>
      <w:r>
        <w:t xml:space="preserve">This study uses data from 1-ha fragments and continuous forest sites.</w:t>
      </w:r>
      <w:r>
        <w:t xml:space="preserve"> </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plots, survey methods, and H.</w:t>
      </w:r>
      <w:r>
        <w:t xml:space="preserve"> </w:t>
      </w:r>
      <w:r>
        <w:t xml:space="preserve">acuminata populations see</w:t>
      </w:r>
      <w:r>
        <w:t xml:space="preserve"> </w:t>
      </w:r>
      <w:r>
        <w:t xml:space="preserve">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 in R version 4.0.2 (2020-06-22)</w:t>
      </w:r>
      <w:r>
        <w:t xml:space="preserve"> </w:t>
      </w:r>
      <w:r>
        <w:t xml:space="preserve">(Beguería &amp; Vicente-Serrano, 2017; R Core Team, 2020)</w:t>
      </w:r>
      <w:r>
        <w:t xml:space="preserve">.</w:t>
      </w:r>
      <w:r>
        <w:t xml:space="preserve"> </w:t>
      </w:r>
      <w:r>
        <w:t xml:space="preserve">The timing of drought events based on these SPEI calculations is consistent with that resulting from SPEI calculated with other data sources, though the magnitude of drought can sometimes differ (</w:t>
      </w:r>
      <w:r>
        <w:rPr>
          <w:bCs/>
          <w:b/>
        </w:rPr>
        <w:t xml:space="preserve">Supplemental __</w:t>
      </w:r>
      <w:r>
        <w:t xml:space="preserve">).</w:t>
      </w:r>
      <w:r>
        <w:t xml:space="preserve"> </w:t>
      </w:r>
    </w:p>
    <w:bookmarkEnd w:id="25"/>
    <w:bookmarkStart w:id="28"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6"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6"/>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7"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7"/>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and the natural log of height</w:t>
      </w:r>
      <w:r>
        <w:t xml:space="preserve"> </w:t>
      </w:r>
      <m:oMath>
        <m:r>
          <m:rPr>
            <m:sty m:val="p"/>
          </m:rPr>
          <m:t>×</m:t>
        </m:r>
      </m:oMath>
      <w:r>
        <w:t xml:space="preserve"> </w:t>
      </w:r>
      <w:r>
        <w:t xml:space="preserve">shoot number as our proxy for plant size</w:t>
      </w:r>
      <w:r>
        <w:t xml:space="preserve"> </w:t>
      </w:r>
      <w:r>
        <w:t xml:space="preserve">.</w:t>
      </w:r>
      <w:r>
        <w:t xml:space="preserve"> </w:t>
      </w:r>
      <w:r>
        <w:t xml:space="preserve">A scaled t family was chosen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p>
    <w:bookmarkEnd w:id="28"/>
    <w:bookmarkEnd w:id="29"/>
    <w:bookmarkStart w:id="32" w:name="results"/>
    <w:p>
      <w:pPr>
        <w:pStyle w:val="Heading1"/>
      </w:pPr>
      <w:r>
        <w:t xml:space="preserve">Results</w:t>
      </w:r>
    </w:p>
    <w:p>
      <w:pPr>
        <w:pStyle w:val="FirstParagraph"/>
      </w:pPr>
      <w:r>
        <w:t xml:space="preserve">Meteorological droughts in our focal region, as indicated by SPEI, are generally consistent with those reported in the literature.</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 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0" w:name="X0298649a63b4ec17841dba9b766e96494c4e63b"/>
    <w:p>
      <w:pPr>
        <w:pStyle w:val="Heading2"/>
      </w:pPr>
      <w:r>
        <w:t xml:space="preserve">Survival, growth, and flowering in continuous forest vs. fragments</w:t>
      </w:r>
    </w:p>
    <w:p>
      <w:pPr>
        <w:pStyle w:val="FirstParagraph"/>
      </w:pPr>
      <w:r>
        <w:t xml:space="preserve">Our dataset comprised 4,083 plants in continuous forest and 1,010 plants in forest fragments.</w:t>
      </w:r>
      <w:r>
        <w:t xml:space="preserve"> </w:t>
      </w:r>
      <w:r>
        <w:t xml:space="preserve">Plots in CF had on average 2.6-fold more plants than plots in 1-ha fragments (CF = 4565 ± 3473 SD; 1-ha = 1723 ± 179 SD).</w:t>
      </w:r>
    </w:p>
    <w:p>
      <w:pPr>
        <w:pStyle w:val="BodyText"/>
      </w:pPr>
      <w:r>
        <w:t xml:space="preserve">When summarizing across years and plots, the proportion of</w:t>
      </w:r>
      <w:r>
        <w:t xml:space="preserve"> </w:t>
      </w:r>
      <w:r>
        <w:rPr>
          <w:iCs/>
          <w:i/>
        </w:rPr>
        <w:t xml:space="preserve">Heliconia acuminata</w:t>
      </w:r>
      <w:r>
        <w:t xml:space="preserve"> </w:t>
      </w:r>
      <w:r>
        <w:t xml:space="preserve">that survived in CF and 1-ha was similarly high (</w:t>
      </w:r>
      <m:oMath>
        <m:sSub>
          <m:e>
            <m:r>
              <m:t>P</m:t>
            </m:r>
          </m:e>
          <m:sub>
            <m:r>
              <m:t>s</m:t>
            </m:r>
            <m:r>
              <m:t>u</m:t>
            </m:r>
            <m:r>
              <m:t>r</m:t>
            </m:r>
            <m:r>
              <m:t>v</m:t>
            </m:r>
          </m:sub>
        </m:sSub>
        <m:r>
          <m:rPr>
            <m:sty m:val="p"/>
          </m:rPr>
          <m:t>=</m:t>
        </m:r>
        <m:r>
          <m:t>0.95</m:t>
        </m:r>
      </m:oMath>
      <w:r>
        <w:t xml:space="preserve">; Figure</w:t>
      </w:r>
      <w:r>
        <w:t xml:space="preserve"> </w:t>
      </w:r>
      <w:r>
        <w:t xml:space="preserve">1</w:t>
      </w:r>
      <w:r>
        <w:t xml:space="preserve">b).</w:t>
      </w:r>
      <w:r>
        <w:t xml:space="preserve"> </w:t>
      </w:r>
      <w:r>
        <w:t xml:space="preserve">The proportion of surviving plants was lowest in the 2003–2004 transition year (</w:t>
      </w:r>
      <m:oMath>
        <m:sSub>
          <m:e>
            <m:r>
              <m:t>P</m:t>
            </m:r>
          </m:e>
          <m:sub>
            <m:r>
              <m:t>s</m:t>
            </m:r>
            <m:r>
              <m:t>u</m:t>
            </m:r>
            <m:r>
              <m:t>r</m:t>
            </m:r>
            <m:r>
              <m:t>v</m:t>
            </m:r>
          </m:sub>
        </m:sSub>
        <m:r>
          <m:rPr>
            <m:sty m:val="p"/>
          </m:rPr>
          <m:t>=</m:t>
        </m:r>
        <m:r>
          <m:t>0.92</m:t>
        </m:r>
      </m:oMath>
      <w:r>
        <w:t xml:space="preserve">), which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Survival was size dependent in both continuous forest and 1-ha fragments (</w:t>
      </w:r>
      <m:oMath>
        <m:r>
          <m:t>p</m:t>
        </m:r>
        <m:r>
          <m:rPr>
            <m:sty m:val="p"/>
          </m:rPr>
          <m:t>&lt;</m:t>
        </m:r>
        <m:r>
          <m:t>0.001</m:t>
        </m:r>
      </m:oMath>
      <w:r>
        <w:t xml:space="preserve"> </w:t>
      </w:r>
      <w:r>
        <w:t xml:space="preserve">for the effect of log-transformed plant size in year t on suvival in year t+1 in both habitats).</w:t>
      </w:r>
      <w:r>
        <w:t xml:space="preserve"> </w:t>
      </w:r>
      <w:r>
        <w:t xml:space="preserve">While the survival probability of large plants approached 1 in both habitat types (Figure</w:t>
      </w:r>
      <w:r>
        <w:t xml:space="preserve"> </w:t>
      </w:r>
      <w:r>
        <w:t xml:space="preserve">2</w:t>
      </w:r>
      <w:r>
        <w:t xml:space="preserve">a),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continuous forest were consequently substantially larger than those in forest fragments (150 ± 175 SD vs. 112 ± 141 SD, respectively).</w:t>
      </w:r>
      <w:r>
        <w:t xml:space="preserve"> </w:t>
      </w:r>
      <w:r>
        <w:t xml:space="preserve">This disparity in plant size was most pronounced in the initial years of our surveys and then diminished over time (Figure</w:t>
      </w:r>
      <w:r>
        <w:t xml:space="preserve"> </w:t>
      </w:r>
      <w:r>
        <w:t xml:space="preserve">1</w:t>
      </w:r>
      <w:r>
        <w:t xml:space="preserve">a), likely due to a combination of greater seedling recruitment in CF and plant mortality or shrinkage.</w:t>
      </w:r>
      <w:r>
        <w:t xml:space="preserve"> </w:t>
      </w: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2</w:t>
      </w:r>
      <w:r>
        <w:t xml:space="preserve">b).</w:t>
      </w:r>
    </w:p>
    <w:p>
      <w:pPr>
        <w:pStyle w:val="BodyText"/>
      </w:pPr>
      <w:r>
        <w:t xml:space="preserve">While the overall proportion of all plants flowering was very low, it was nevertheless almost 40% higher in continuous forest than 1-ha fragments (0.05 ± 0.21 vs. 0.04 ± 0.19, respectively).</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in Figure</w:t>
      </w:r>
      <w:r>
        <w:t xml:space="preserve"> </w:t>
      </w:r>
      <w:r>
        <w:t xml:space="preserve">2</w:t>
      </w:r>
      <w:r>
        <w:t xml:space="preserve">c)</w:t>
      </w:r>
      <w:r>
        <w:t xml:space="preserve"> </w:t>
      </w:r>
      <w:r>
        <w:t xml:space="preserve">.</w:t>
      </w:r>
      <w:r>
        <w:t xml:space="preserve"> </w:t>
      </w:r>
      <w:r>
        <w:t xml:space="preserve">Even though flowering probability of large plants (log(size) &gt; 5) was greater in 1-ha fragments compared to continuous forest, there were proportionally far fewer plants above the reproductive threshold size in forest fragments (Figure</w:t>
      </w:r>
      <w:r>
        <w:t xml:space="preserve"> </w:t>
      </w:r>
      <w:r>
        <w:t xml:space="preserve">2</w:t>
      </w:r>
      <w:r>
        <w:t xml:space="preserve">d).</w:t>
      </w:r>
      <w:r>
        <w:t xml:space="preserve"> </w:t>
      </w:r>
      <w:r>
        <w:t xml:space="preserve">Indeed, 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0"/>
    <w:bookmarkStart w:id="31" w:name="X6dd1d867d94c602f9192bc61b904a4ff4b78b2f"/>
    <w:p>
      <w:pPr>
        <w:pStyle w:val="Heading2"/>
      </w:pPr>
      <w:r>
        <w:t xml:space="preserve">Delayed effects of drought on demographic vital rates</w:t>
      </w:r>
    </w:p>
    <w:p>
      <w:pPr>
        <w:pStyle w:val="FirstParagraph"/>
      </w:pPr>
      <w:r>
        <w:t xml:space="preserve">Drought history had a significant effect on the survival (</w:t>
      </w:r>
      <m:oMath>
        <m:r>
          <m:t>p</m:t>
        </m:r>
        <m:r>
          <m:rPr>
            <m:sty m:val="p"/>
          </m:rPr>
          <m:t>&lt;</m:t>
        </m:r>
        <m:r>
          <m:t>0.001</m:t>
        </m:r>
      </m:oMath>
      <w:r>
        <w:t xml:space="preserve">), growth (</w:t>
      </w:r>
      <m:oMath>
        <m:r>
          <m:t>p</m:t>
        </m:r>
        <m:r>
          <m:rPr>
            <m:sty m:val="p"/>
          </m:rPr>
          <m:t>&lt;</m:t>
        </m:r>
        <m:r>
          <m:t>0.001</m:t>
        </m:r>
      </m:oMath>
      <w:r>
        <w:t xml:space="preserve">), and flowering (</w:t>
      </w:r>
      <m:oMath>
        <m:r>
          <m:t>p</m:t>
        </m:r>
        <m:r>
          <m:rPr>
            <m:sty m:val="p"/>
          </m:rPr>
          <m:t>&lt;</m:t>
        </m:r>
        <m:r>
          <m:t>0.001</m:t>
        </m:r>
      </m:oMath>
      <w:r>
        <w:t xml:space="preserve">)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t xml:space="preserve">For 1-ha fragments, recent SPEI values (i.e. within the past 0–12 months) had the strongest effect on survival</w:t>
      </w:r>
      <w:r>
        <w:t xml:space="preserve"> </w:t>
      </w:r>
      <w:r>
        <w:t xml:space="preserve">., with the highest survival near SPEI of 0 and mortality increasing as conditions became either drier or wetter (i.e., as SPEI values became increasingly negative or positive, respectively; Figure</w:t>
      </w:r>
      <w:r>
        <w:t xml:space="preserve"> </w:t>
      </w:r>
      <w:r>
        <w:t xml:space="preserve">3</w:t>
      </w:r>
      <w:r>
        <w:t xml:space="preserve">a).</w:t>
      </w:r>
      <w:r>
        <w:t xml:space="preserve"> </w:t>
      </w:r>
      <w:r>
        <w:t xml:space="preserve">In contrast, the effect of recent SPEI in continuous forest was both weaker and unidirectional – survival probability was reduced only when SPEI was &lt; -1 (i.e., mild-severe drought), and even then only slightly (Figure</w:t>
      </w:r>
      <w:r>
        <w:t xml:space="preserve"> </w:t>
      </w:r>
      <w:r>
        <w:t xml:space="preserve">3</w:t>
      </w:r>
      <w:r>
        <w:t xml:space="preserve">b).</w:t>
      </w:r>
      <w:r>
        <w:t xml:space="preserve"> </w:t>
      </w:r>
      <w:r>
        <w:t xml:space="preserve">Instead the most pronounced effects on the survival of plants in continuous forest were of SPEI at a lag time of 15–20 months (i.e. two dry seasons prior to a census).</w:t>
      </w:r>
      <w:r>
        <w:t xml:space="preserve"> </w:t>
      </w:r>
      <w:r>
        <w:t xml:space="preserve">Drought 15–20 months prior to a census (i.e., SPEI &lt; -1) was associated with reduced survival, while high precipitation (i.e., SPEI &gt; 1) was associated with higher survival (put another way, was a nearly linear relationship between SPEI and survival probability).</w:t>
      </w:r>
      <w:r>
        <w:t xml:space="preserve"> </w:t>
      </w:r>
      <w:r>
        <w:t xml:space="preserve">Finally, plants in both habitat types showed an increase in survival probability with very high SPEI values (i.e., extremely high precipitation) at a lag time of 36 months.</w:t>
      </w:r>
      <w:r>
        <w:t xml:space="preserve"> </w:t>
      </w:r>
      <w:r>
        <w:t xml:space="preserve">It should be noted, however, that only the first year of census data (1999) met these conditions.</w:t>
      </w:r>
      <w:r>
        <w:t xml:space="preserve"> </w:t>
      </w:r>
      <w:r>
        <w:t xml:space="preserve">Subtracting the estimated contribution of SPEI history to survival in fragments from that in continuous forest shows that in average conditions (SPEI = 0), there is little difference in survival probability between continuous forest and fragments (Figure</w:t>
      </w:r>
      <w:r>
        <w:t xml:space="preserve"> </w:t>
      </w:r>
      <w:r>
        <w:t xml:space="preserve">3</w:t>
      </w:r>
      <w:r>
        <w:t xml:space="preserve">c).</w:t>
      </w:r>
      <w:r>
        <w:t xml:space="preserve"> </w:t>
      </w:r>
      <w:r>
        <w:t xml:space="preserve">However, under extreme conditions, survival probability is higher in continuous forest by up to 0.02.</w:t>
      </w:r>
    </w:p>
    <w:p>
      <w:pPr>
        <w:pStyle w:val="BodyText"/>
      </w:pPr>
      <w:r>
        <w:t xml:space="preserve">While the fitted crossbasis functions for fragments and continuous forest showed generally similar patterns of drought effects on growth (i.e, trends in plant size), the surface for 1-ha fragments indicated more complex responses in some situations (edf = 17.9 for 1-ha fragments; edf = 12.9 for continuous forest; see also Figure</w:t>
      </w:r>
      <w:r>
        <w:t xml:space="preserve"> </w:t>
      </w:r>
      <w:r>
        <w:t xml:space="preserve">4</w:t>
      </w:r>
      <w:r>
        <w:t xml:space="preserve">).</w:t>
      </w:r>
      <w:r>
        <w:t xml:space="preserve"> </w:t>
      </w:r>
      <w:r>
        <w:t xml:space="preserve">For example, when SPEI = 0 (i.e., average conditions), growth is similar or slightly higher in continuous forest over all lag periods (Figure</w:t>
      </w:r>
      <w:r>
        <w:t xml:space="preserve"> </w:t>
      </w:r>
      <w:r>
        <w:t xml:space="preserve">4</w:t>
      </w:r>
      <w:r>
        <w:t xml:space="preserve">c).</w:t>
      </w:r>
      <w:r>
        <w:t xml:space="preserve"> </w:t>
      </w:r>
      <w:r>
        <w:t xml:space="preserve">However, when the current wet season is unusually wet (SPEI&gt;2), plants in continuous forests were larger by up to log(size) = 0.57 due to reduced growth in fragments.</w:t>
      </w:r>
      <w:r>
        <w:t xml:space="preserve"> </w:t>
      </w:r>
      <w:r>
        <w:t xml:space="preserve">In contrast, drought at lags of 8–11 months (i.e., the end of the preceding year’s wet season) led to increased growth in both habitats, but the magnitude of the response was greater in 1-ha fragments.</w:t>
      </w:r>
    </w:p>
    <w:p>
      <w:pPr>
        <w:pStyle w:val="BodyText"/>
      </w:pPr>
      <w:r>
        <w:t xml:space="preserve">Overall, the the probability of flowering was higher in continuous forest than in 1-ha fragments for all values of SPEI (Figure</w:t>
      </w:r>
      <w:r>
        <w:t xml:space="preserve"> </w:t>
      </w:r>
      <w:r>
        <w:t xml:space="preserve">5</w:t>
      </w:r>
      <w:r>
        <w:t xml:space="preserve">).</w:t>
      </w:r>
      <w:r>
        <w:t xml:space="preserve"> </w:t>
      </w:r>
      <w:r>
        <w:t xml:space="preserve">The effects of SPEI on flowering probability in continuous forest were also more complex (1-ha edf = 8.1, continuous forest edf = 10.3); recent drought (i.e., at lag = 0 with SPEI &lt; -1) increased the probability of flowering in continuous forest, as did drought at lags 15–20 (i.e., two dry seasons prior).</w:t>
      </w:r>
      <w:r>
        <w:t xml:space="preserve"> </w:t>
      </w:r>
      <w:r>
        <w:t xml:space="preserve">However, drought at lags 7–13</w:t>
      </w:r>
      <w:r>
        <w:t xml:space="preserve"> </w:t>
      </w:r>
      <w:r>
        <w:t xml:space="preserve"> </w:t>
      </w:r>
      <w:r>
        <w:t xml:space="preserve">reduced flowering probability.</w:t>
      </w:r>
      <w:r>
        <w:t xml:space="preserve"> </w:t>
      </w:r>
      <w:r>
        <w:t xml:space="preserve">The responses in 1-ha fragments were substantially more muted, as indicated by the shape of the crossbasis function (Figure</w:t>
      </w:r>
      <w:r>
        <w:t xml:space="preserve"> </w:t>
      </w:r>
      <w:r>
        <w:t xml:space="preserve">5</w:t>
      </w:r>
      <w:r>
        <w:t xml:space="preserve">a).</w:t>
      </w:r>
      <w:r>
        <w:t xml:space="preserve"> </w:t>
      </w:r>
      <w:r>
        <w:t xml:space="preserve">In other words, the variation in fitted values along the SPEI dimension was much lower at all values of the lag dimension in fragments.</w:t>
      </w:r>
      <w:r>
        <w:t xml:space="preserve"> </w:t>
      </w:r>
      <w:r>
        <w:t xml:space="preserve">Plotting the difference between the crossbasis smooths for continuous forest and 1-ha fragments revealed that flowering probability is higher in continuous forest compared to 1-ha fragments and is increased by recent drought and drought during the dry season 15–20 months prior to the census (Figure</w:t>
      </w:r>
      <w:r>
        <w:t xml:space="preserve"> </w:t>
      </w:r>
      <w:r>
        <w:t xml:space="preserve">5</w:t>
      </w:r>
      <w:r>
        <w:t xml:space="preserve">c).</w:t>
      </w:r>
      <w:r>
        <w:t xml:space="preserve"> </w:t>
      </w:r>
      <w:r>
        <w:t xml:space="preserve">The least difference between habitat types occurs when there is strong drought at about 8–12 months lag or very wet conditions at 15–20 months lag.</w:t>
      </w:r>
    </w:p>
    <w:p>
      <w:pPr>
        <w:pStyle w:val="BodyText"/>
      </w:pPr>
      <w:r>
        <w:rPr>
          <w:iCs/>
          <w:i/>
          <w:bCs/>
          <w:b/>
        </w:rPr>
        <w:t xml:space="preserve">ALTERNATIVE SUMMARY OF THE FLOWERING RESULTS?</w:t>
      </w:r>
      <w:r>
        <w:t xml:space="preserve"> </w:t>
      </w:r>
      <w:r>
        <w:t xml:space="preserve">Overall, the the probability of flowering was higher in continuous forest than in 1-ha fragments for all values of SPEI (Figure</w:t>
      </w:r>
      <w:r>
        <w:t xml:space="preserve"> </w:t>
      </w:r>
      <w:r>
        <w:t xml:space="preserve">5</w:t>
      </w:r>
      <w:r>
        <w:t xml:space="preserve">).</w:t>
      </w:r>
      <w:r>
        <w:t xml:space="preserve"> </w:t>
      </w:r>
      <w:r>
        <w:t xml:space="preserve">The responses in 1-ha fragments were also more muted (1-ha edf = 8.1, continuous forest edf = 10.3), as indicated by the shape of the crossbasis function (Figure</w:t>
      </w:r>
      <w:r>
        <w:t xml:space="preserve"> </w:t>
      </w:r>
      <w:r>
        <w:t xml:space="preserve">5</w:t>
      </w:r>
      <w:r>
        <w:t xml:space="preserve">a).</w:t>
      </w:r>
      <w:r>
        <w:t xml:space="preserve"> </w:t>
      </w:r>
      <w:r>
        <w:t xml:space="preserve">This led to some important inter-habitat differences in plant responses to prior droughts: recent drought (i.e., at lag = 0 with SPEI &lt; -1) increased the probability of flowering in continuous forest, as did drought at lags 15–20 (i.e., two dry seasons prior).</w:t>
      </w:r>
      <w:r>
        <w:t xml:space="preserve"> </w:t>
      </w:r>
      <w:r>
        <w:t xml:space="preserve">However, drought at lags 7–13</w:t>
      </w:r>
      <w:r>
        <w:t xml:space="preserve"> </w:t>
      </w:r>
      <w:r>
        <w:t xml:space="preserve"> </w:t>
      </w:r>
      <w:r>
        <w:t xml:space="preserve">reduced flowering probability in continuous forest far more than it did in fragments (Figure</w:t>
      </w:r>
      <w:r>
        <w:t xml:space="preserve"> </w:t>
      </w:r>
      <w:r>
        <w:t xml:space="preserve">5</w:t>
      </w:r>
      <w:r>
        <w:t xml:space="preserve">c).</w:t>
      </w:r>
      <w:r>
        <w:t xml:space="preserve"> </w:t>
      </w:r>
      <w:r>
        <w:t xml:space="preserve">The greatest similarity between forest and fragments occurs when there is strong drought 8–12 months prior, or precipitation 15–20 months prior is extremely high.</w:t>
      </w:r>
    </w:p>
    <w:p>
      <w:pPr>
        <w:pStyle w:val="BodyText"/>
      </w:pPr>
      <w:r>
        <w:t xml:space="preserve">FInally, with the exception of survival in 1-ha fragments (</w:t>
      </w:r>
      <m:oMath>
        <m:r>
          <m:t>p</m:t>
        </m:r>
        <m:r>
          <m:rPr>
            <m:sty m:val="p"/>
          </m:rPr>
          <m:t>=</m:t>
        </m:r>
        <m:r>
          <m:t>0.252</m:t>
        </m:r>
      </m:oMath>
      <w:r>
        <w:t xml:space="preserve">), the delayed effects of SPEI on all three vital rates varied significantly among plots (</w:t>
      </w:r>
      <m:oMath>
        <m:r>
          <m:t>p</m:t>
        </m:r>
        <m:r>
          <m:rPr>
            <m:sty m:val="p"/>
          </m:rPr>
          <m:t>&lt;</m:t>
        </m:r>
        <m:r>
          <m:t>0.001</m:t>
        </m:r>
      </m:oMath>
      <w:r>
        <w:t xml:space="preserve"> </w:t>
      </w:r>
      <w:r>
        <w:t xml:space="preserve">for the random effect of plot).</w:t>
      </w:r>
      <w:r>
        <w:t xml:space="preserve"> </w:t>
      </w:r>
      <w:r>
        <w:t xml:space="preserve">There was no evidence for a cost of reproduction — in both forest and fragments, flowering in the previous year was a significant predictor of growth (CF:</w:t>
      </w:r>
      <w:r>
        <w:t xml:space="preserve"> </w:t>
      </w:r>
      <m:oMath>
        <m:r>
          <m:t>p</m:t>
        </m:r>
        <m:r>
          <m:rPr>
            <m:sty m:val="p"/>
          </m:rPr>
          <m:t>=</m:t>
        </m:r>
        <m:r>
          <m:t>0.048</m:t>
        </m:r>
      </m:oMath>
      <w:r>
        <w:t xml:space="preserve">, 1-ha:</w:t>
      </w:r>
      <w:r>
        <w:t xml:space="preserve"> </w:t>
      </w:r>
      <m:oMath>
        <m:r>
          <m:t>p</m:t>
        </m:r>
        <m:r>
          <m:rPr>
            <m:sty m:val="p"/>
          </m:rPr>
          <m:t>=</m:t>
        </m:r>
        <m:r>
          <m:t>0.031</m:t>
        </m:r>
      </m:oMath>
      <w:r>
        <w:t xml:space="preserve">) and flowering (</w:t>
      </w:r>
      <m:oMath>
        <m:r>
          <m:t>p</m:t>
        </m:r>
        <m:r>
          <m:rPr>
            <m:sty m:val="p"/>
          </m:rPr>
          <m:t>&lt;</m:t>
        </m:r>
        <m:r>
          <m:t>0.001</m:t>
        </m:r>
      </m:oMath>
      <w:r>
        <w:t xml:space="preserve"> </w:t>
      </w:r>
      <w:r>
        <w:t xml:space="preserve">for both CF and 1-ha).</w:t>
      </w:r>
      <w:r>
        <w:t xml:space="preserve"> </w:t>
      </w:r>
      <w:r>
        <w:t xml:space="preserve">However, the coefficients were always positive, indicating that flowering in the previous year was positively related to both size and flowering probability in the current year.</w:t>
      </w:r>
      <w:r>
        <w:t xml:space="preserve"> </w:t>
      </w:r>
      <w:r>
        <w:t xml:space="preserve">This suggests that….</w:t>
      </w:r>
    </w:p>
    <w:bookmarkEnd w:id="31"/>
    <w:bookmarkEnd w:id="32"/>
    <w:bookmarkStart w:id="36"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Here we support the emerging generalization that the effects of climate drivers on demographic vital rates can be delayed</w:t>
      </w:r>
      <w:r>
        <w:t xml:space="preserve"> </w:t>
      </w:r>
      <w:r>
        <w:t xml:space="preserve">(Evers et al., 2021; Teller et al., 2016; Tenhumberg et al., 2018)</w:t>
      </w:r>
      <w:r>
        <w:t xml:space="preserve">.</w:t>
      </w:r>
      <w:r>
        <w:t xml:space="preserve"> </w:t>
      </w:r>
      <w:r>
        <w:t xml:space="preserve">We also found that the magnitude, direction, and temporal lag in demographic responses to drought differs between forest fragments and continuous forest.</w:t>
      </w:r>
      <w:r>
        <w:t xml:space="preserve"> </w:t>
      </w:r>
      <w:r>
        <w:t xml:space="preserve">Consequently, the hypothesized synergies between climate and fragmentation may be far more complex and pervasive than previously thought.</w:t>
      </w:r>
    </w:p>
    <w:bookmarkStart w:id="33" w:name="X3a355de2d331eab387e1cf5babe24db8f9038e8"/>
    <w:p>
      <w:pPr>
        <w:pStyle w:val="Heading2"/>
      </w:pPr>
      <w:r>
        <w:t xml:space="preserve">Temporal variation in demographic responses to forest fragmentation</w:t>
      </w:r>
    </w:p>
    <w:p>
      <w:pPr>
        <w:pStyle w:val="FirstParagraph"/>
      </w:pPr>
      <w:r>
        <w:t xml:space="preserve">Our results indicate that some—but not all—results from short-term demographic studies can be extrapolated to longer times scales.</w:t>
      </w:r>
      <w:r>
        <w:t xml:space="preserve"> </w:t>
      </w:r>
      <w:r>
        <w:t xml:space="preserve">Decadal comparisons of</w:t>
      </w:r>
      <w:r>
        <w:t xml:space="preserve"> </w:t>
      </w:r>
      <w:r>
        <w:rPr>
          <w:iCs/>
          <w:i/>
        </w:rPr>
        <w:t xml:space="preserve">Heliconia acuminata</w:t>
      </w:r>
      <w:r>
        <w:t xml:space="preserve"> </w:t>
      </w:r>
      <w:r>
        <w:t xml:space="preserve">growth and survival largely mirrored those of prior experiments and surveys</w:t>
      </w:r>
      <w:r>
        <w:t xml:space="preserve"> </w:t>
      </w:r>
      <w:r>
        <w:t xml:space="preserve">(Bruna &amp; Kress, 2002)</w:t>
      </w:r>
      <w:r>
        <w:t xml:space="preserve">.</w:t>
      </w:r>
      <w:r>
        <w:t xml:space="preserve"> </w:t>
      </w:r>
      <w:r>
        <w:t xml:space="preserve">In contrast, conclusions regarding the effect of fragmentation on flowering differed substantially from those based on short-term surveys</w:t>
      </w:r>
      <w:r>
        <w:t xml:space="preserve"> </w:t>
      </w:r>
      <w:r>
        <w:t xml:space="preserve">(Bruna &amp; Kress, 2002)</w:t>
      </w:r>
      <w:r>
        <w:t xml:space="preserve">.</w:t>
      </w:r>
      <w:r>
        <w:t xml:space="preserve"> </w:t>
      </w:r>
      <w:r>
        <w:t xml:space="preserve">While in some years the probability a plant flowered was far lower in fragments than in continuous forest, in others it was comparable or even higher.</w:t>
      </w:r>
      <w:r>
        <w:t xml:space="preserve"> </w:t>
      </w:r>
      <w:r>
        <w:t xml:space="preserve">The probability that individual plants flowered continued to be size-dependent, with a similar size threshold below which plants were unlikely to produce inflorescences.</w:t>
      </w:r>
      <w:r>
        <w:t xml:space="preserve"> </w:t>
      </w:r>
      <w:r>
        <w:t xml:space="preserve">However, while in our initial three-year survey the relationship between plant size and probability of flowering was similar in both habitat types</w:t>
      </w:r>
      <w:r>
        <w:t xml:space="preserve"> </w:t>
      </w:r>
      <w:r>
        <w:t xml:space="preserve">(Bruna &amp; Kress, 2002)</w:t>
      </w:r>
      <w:r>
        <w:t xml:space="preserve">, when using the decadal dataset were found that flowering probability for the largest plants is actually higher in forest fragments (i.e., average fitted probability of flowering for plants in upper size quartile = 0.125 in CF vs. 0.094 in FF).</w:t>
      </w:r>
    </w:p>
    <w:p>
      <w:pPr>
        <w:pStyle w:val="BodyText"/>
      </w:pPr>
      <w:r>
        <w:t xml:space="preserve">These size-dependent differences in flowering probability had only a modest effect on the previously observed disparities in flowering plant abundance—populations in fragments are smaller, and they have proportionately fewer of these large plants</w:t>
      </w:r>
      <w:r>
        <w:t xml:space="preserve"> </w:t>
      </w:r>
      <w:r>
        <w:t xml:space="preserve">(Bruna &amp; Kress, 2002)</w:t>
      </w:r>
      <w:r>
        <w:t xml:space="preserve">. However, they could potentially lead to major habitat-specific differences in lifetime reproductive effort for these long-lived plants. They translate into flowering once every 7.97 years in fragments vs. every 10.63 years in continuous forest (assuming stasis in size and average SPEI). While some</w:t>
      </w:r>
      <w:r>
        <w:t xml:space="preserve"> </w:t>
      </w:r>
      <w:r>
        <w:rPr>
          <w:iCs/>
          <w:i/>
        </w:rPr>
        <w:t xml:space="preserve">Heliconia</w:t>
      </w:r>
      <w:r>
        <w:t xml:space="preserve"> </w:t>
      </w:r>
      <w:r>
        <w:t xml:space="preserve">species could compensate for these disparities with by selfing</w:t>
      </w:r>
      <w:r>
        <w:t xml:space="preserve"> </w:t>
      </w:r>
      <w:r>
        <w:t xml:space="preserve">(Kress, 1983)</w:t>
      </w:r>
      <w:r>
        <w:t xml:space="preserve"> </w:t>
      </w:r>
      <w:r>
        <w:t xml:space="preserve">or vegetative reproduction</w:t>
      </w:r>
      <w:r>
        <w:t xml:space="preserve"> </w:t>
      </w:r>
      <w:r>
        <w:t xml:space="preserve">Rundel et al. (2020)</w:t>
      </w:r>
      <w:r>
        <w:t xml:space="preserve">], pollen transfer experiments indicate self-fertilization in</w:t>
      </w:r>
      <w:r>
        <w:t xml:space="preserve"> </w:t>
      </w:r>
      <w:r>
        <w:rPr>
          <w:iCs/>
          <w:i/>
        </w:rPr>
        <w:t xml:space="preserve">Heliconia acuminata</w:t>
      </w:r>
      <w:r>
        <w:t xml:space="preserve"> </w:t>
      </w:r>
      <w:r>
        <w:t xml:space="preserve">is rare and this species does not reproduce clonally (Bruna</w:t>
      </w:r>
      <w:r>
        <w:t xml:space="preserve"> </w:t>
      </w:r>
      <w:r>
        <w:rPr>
          <w:iCs/>
          <w:i/>
        </w:rPr>
        <w:t xml:space="preserve">unpubl. data</w:t>
      </w:r>
      <w:r>
        <w:t xml:space="preserve">). Our results underscore why caution is needed when using short-term studies to draw conclusions regarding the effects of fragmentation on long-lived organisms: seemingly small (i.e., non-significant) differences in vital rates, when compounded over multiple years, can lead to demographic divergence among populations.</w:t>
      </w:r>
      <w:r>
        <w:t xml:space="preserve"> </w:t>
      </w:r>
      <w:r>
        <w:t xml:space="preserve">(Gagnon et al., 2011)</w:t>
      </w:r>
      <w:r>
        <w:t xml:space="preserve">.</w:t>
      </w:r>
    </w:p>
    <w:p>
      <w:pPr>
        <w:pStyle w:val="BodyText"/>
      </w:pPr>
      <w:r>
        <w:t xml:space="preserve">Fragmentation of forests diminishes their ability to buffer changes in microclimate due to edge effects</w:t>
      </w:r>
      <w:r>
        <w:t xml:space="preserve"> </w:t>
      </w:r>
      <w:r>
        <w:t xml:space="preserve">(Didham &amp; Lawton, 1999; Ewers &amp; Banks-Leite, 2013)</w:t>
      </w:r>
      <w:r>
        <w:t xml:space="preserve">.</w:t>
      </w:r>
      <w:r>
        <w:t xml:space="preserve"> </w:t>
      </w:r>
      <w:r>
        <w:t xml:space="preserve">This can result in changes in vegetation structure, and is a plausible mechanism for reduced growth and survival of</w:t>
      </w:r>
      <w:r>
        <w:t xml:space="preserve"> </w:t>
      </w:r>
      <w:r>
        <w:rPr>
          <w:iCs/>
          <w:i/>
        </w:rPr>
        <w:t xml:space="preserve">H. accuminata</w:t>
      </w:r>
      <w:r>
        <w:t xml:space="preserve"> </w:t>
      </w:r>
      <w:r>
        <w:t xml:space="preserve">in forest fragments in this study.</w:t>
      </w:r>
      <w:r>
        <w:t xml:space="preserve"> </w:t>
      </w:r>
      <w:r>
        <w:t xml:space="preserve">We show that the effects of variation in SPEI on survival and growth are more extreme in fragments compared to continuous forest.</w:t>
      </w:r>
      <w:r>
        <w:t xml:space="preserve"> </w:t>
      </w:r>
      <w:r>
        <w:t xml:space="preserve">Additionally, the direction of the SPEI effects appear to be seasonal—that is, extreme dry conditions in dry seasons and extreme wet conditions in wet seasons are most detrimental to growth and survival.</w:t>
      </w:r>
      <w:r>
        <w:t xml:space="preserve"> </w:t>
      </w:r>
      <w:r>
        <w:t xml:space="preserve">The ability of continuous forest habitat to buffer these extremes may be responsible for the less extreme effects of variation in SPEI in continuous forest.</w:t>
      </w:r>
      <w:r>
        <w:t xml:space="preserve"> </w:t>
      </w:r>
      <w:r>
        <w:t xml:space="preserve">More experimental work is needed to establish alterations in microclimate or impaired microclimate buffering in extreme weather events as a causal mechanism for reduced growth and survival of plant individuals in forest fragments.</w:t>
      </w:r>
    </w:p>
    <w:bookmarkEnd w:id="33"/>
    <w:bookmarkStart w:id="34" w:name="X59863ed4986d1622f189b45ac64fd89f4b5ea62"/>
    <w:p>
      <w:pPr>
        <w:pStyle w:val="Heading2"/>
      </w:pPr>
      <w:r>
        <w:t xml:space="preserve">Delayed effects of climate on demographic vital rates</w:t>
      </w:r>
    </w:p>
    <w:p>
      <w:pPr>
        <w:pStyle w:val="FirstParagraph"/>
      </w:pPr>
      <w:r>
        <w:t xml:space="preserve">Precipitation extremes and other climatic factors are known to have immediate effects on the growth, survival, or reproduction of plants</w:t>
      </w:r>
      <w:r>
        <w:t xml:space="preserve"> </w:t>
      </w:r>
      <w:r>
        <w:t xml:space="preserve">(Esteban et al., 2021; S. J.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(S. Joseph 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(Alfaro-Sánchez et al., 2017; Condit et al., 2004; Huete et al., 2006; Jones et al., 2014; M.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S. J. Wright et al., 1999)</w:t>
      </w:r>
      <w:r>
        <w:t xml:space="preserve">.</w:t>
      </w:r>
    </w:p>
    <w:p>
      <w:pPr>
        <w:pStyle w:val="BodyText"/>
      </w:pPr>
      <w:r>
        <w:t xml:space="preserve">Despite this knowledge, models of plant population dynamics have rarely included the effects of environmental drivers.</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challenge,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although extreme values of SPEI—both positive (unusually high precipitation) and negative (drought conditions)—led to declines in the probability of individual survival in both habitat types,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the effect of variation in SPEI on flowering probability was far stronger in continuous forest than fragments; 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infloresences.</w:t>
      </w:r>
      <w:r>
        <w:t xml:space="preserve"> </w:t>
      </w:r>
      <w:r>
        <w:t xml:space="preserve">Adverse conditions during the 6 months following initiation, rather than the months when infloresences are starting expand, leads to the aborted production of flowering shoots</w:t>
      </w:r>
      <w:r>
        <w:t xml:space="preserve"> </w:t>
      </w:r>
      <w:r>
        <w:t xml:space="preserve">(Criley &amp; Lekawatana, 1994)</w:t>
      </w:r>
      <w:r>
        <w:t xml:space="preserve">.</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 For example, while droughts can kill some tropical trees immediately</w:t>
      </w:r>
      <w:r>
        <w:t xml:space="preserve"> </w:t>
      </w:r>
      <w:r>
        <w:t xml:space="preserve">(W. F. Laurance et al., 2001)</w:t>
      </w:r>
      <w:r>
        <w:t xml:space="preserve">, others take three years or more</w:t>
      </w:r>
      <w:r>
        <w:t xml:space="preserve"> </w:t>
      </w:r>
      <w:r>
        <w:t xml:space="preserve">(Criley &amp; Lekawatana, 1994)</w:t>
      </w:r>
      <w:r>
        <w:t xml:space="preserve">. This will potentially lead to a boom in growth and flowering years after the drought, when the canopy gaps resulting from delayed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Similar delayed changes in the local environment could also influence the foraging behavior of</w:t>
      </w:r>
      <w:r>
        <w:t xml:space="preserve"> </w:t>
      </w:r>
      <w:r>
        <w:rPr>
          <w:iCs/>
          <w:i/>
        </w:rPr>
        <w:t xml:space="preserve">H. acuminata</w:t>
      </w:r>
      <w:r>
        <w:t xml:space="preserve">’s pollinators</w:t>
      </w:r>
      <w:r>
        <w:t xml:space="preserve"> </w:t>
      </w:r>
      <w:r>
        <w:t xml:space="preserve">(Bruna et al., 2004; Stouffer &amp; Bierregaard, 1996)</w:t>
      </w:r>
      <w:r>
        <w:t xml:space="preserve"> </w:t>
      </w:r>
      <w:r>
        <w:t xml:space="preserve">and seed dispersers</w:t>
      </w:r>
      <w:r>
        <w:t xml:space="preserve"> </w:t>
      </w:r>
      <w:r>
        <w:t xml:space="preserve">(María Uriarte et al., 2011)</w:t>
      </w:r>
      <w:r>
        <w:t xml:space="preserve">. While more work is needed to explain why the (delayed) effects of SPEI on survival and growth are greater in forest fragments than interiors, it may be due to the proportionately greater amount of litterfall on edges</w:t>
      </w:r>
      <w:r>
        <w:t xml:space="preserve"> </w:t>
      </w:r>
      <w:r>
        <w:t xml:space="preserve">(Vasconcelos &amp; Luizão, 2004)</w:t>
      </w:r>
      <w:r>
        <w:t xml:space="preserve"> </w:t>
      </w:r>
      <w:r>
        <w:t xml:space="preserve">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3</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4"/>
    <w:bookmarkStart w:id="35"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(W. F. 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p>
    <w:bookmarkEnd w:id="35"/>
    <w:bookmarkEnd w:id="36"/>
    <w:bookmarkStart w:id="37" w:name="acknowledgments"/>
    <w:p>
      <w:pPr>
        <w:pStyle w:val="Heading1"/>
      </w:pPr>
      <w:r>
        <w:t xml:space="preserve">Acknowledgments</w:t>
      </w:r>
    </w:p>
    <w:p>
      <w:pPr>
        <w:pStyle w:val="FirstParagraph"/>
      </w:pPr>
      <w:r>
        <w:t xml:space="preserve">We thank Collin Edwards, —-, —-, and —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 in the BDFFP Technical Series.</w:t>
      </w:r>
    </w:p>
    <w:bookmarkEnd w:id="37"/>
    <w:bookmarkStart w:id="44" w:name="figures"/>
    <w:p>
      <w:pPr>
        <w:pStyle w:val="Heading1"/>
      </w:pPr>
      <w:r>
        <w:t xml:space="preserve">Figures</w:t>
      </w:r>
    </w:p>
    <w:p>
      <w:pPr>
        <w:pStyle w:val="CaptionedFigure"/>
      </w:pPr>
      <w:r>
        <w:drawing>
          <wp:inline>
            <wp:extent cx="5943600" cy="5943600"/>
            <wp:effectExtent b="0" l="0" r="0" t="0"/>
            <wp:docPr descr="Figure 1: Timeseries of demographic parameters and drought ocurrence. Mean plant size ± standard deviation (a) shows that plants were smaller in fragments (orange, solid) than continuous forest (blue, dashed).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ey lines representing values from different grid cells encompassing BDFFP and the dark line representing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Timeseries of demographic parameters and drought ocurrence. Mean plant size ± standard deviation (a) shows that plants were smaller in fragments (orange, solid) than continuous forest (blue, dashed).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grey lines representing values from different grid cells encompassing BDFFP and the dark line representing the site mean. Yellow, orange, dark orange, and red stripes show mild, moderate, severe, and extreme drought, respectively.</w:t>
      </w:r>
    </w:p>
    <w:p>
      <w:pPr>
        <w:pStyle w:val="CaptionedFigure"/>
      </w:pPr>
      <w:r>
        <w:drawing>
          <wp:inline>
            <wp:extent cx="5943600" cy="2971800"/>
            <wp:effectExtent b="0" l="0" r="0" t="0"/>
            <wp:docPr descr="(#fig:surv_curve)Survivorship of plants labeled in the first survey year, 1998, which comprise 49% of the plants in the full dataset. After 10 years, 79.7% (1629/2055) of plants in continuous forest survived and 72.4% (393/543) of plants in fragments survived." title="" id="1" name="Picture"/>
            <a:graphic>
              <a:graphicData uri="http://schemas.openxmlformats.org/drawingml/2006/picture">
                <pic:pic>
                  <pic:nvPicPr>
                    <pic:cNvPr descr="figures/surv_curve-1.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(#fig:surv_curve)Survivorship of plants labeled in the first survey year, 1998, which comprise 49% of the plants in the full dataset. After 10 years, 79.7% (1629/2055) of plants in continuous forest survived and 72.4% (393/543) of plants in fragments survived.</w:t>
      </w:r>
    </w:p>
    <w:p>
      <w:pPr>
        <w:pStyle w:val="CaptionedFigure"/>
      </w:pPr>
      <w:r>
        <w:drawing>
          <wp:inline>
            <wp:extent cx="5943600" cy="5943600"/>
            <wp:effectExtent b="0" l="0" r="0" t="0"/>
            <wp:docPr descr="Figure 2: Smooth effect of plant size in the previous census on a) survival, b) log(size), and c) flowering probabiility, modeled by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 title="" id="1" name="Picture"/>
            <a:graphic>
              <a:graphicData uri="http://schemas.openxmlformats.org/drawingml/2006/picture">
                <pic:pic>
                  <pic:nvPicPr>
                    <pic:cNvPr descr="figures/size-plot-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Smooth effect of plant size in the previous census on a) survival, b) log(size), and c) flowering probabiility, modeled by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w:t>
      </w:r>
    </w:p>
    <w:p>
      <w:pPr>
        <w:pStyle w:val="CaptionedFigure"/>
      </w:pPr>
      <w:r>
        <w:drawing>
          <wp:inline>
            <wp:extent cx="5943600" cy="6368142"/>
            <wp:effectExtent b="0" l="0" r="0" t="0"/>
            <wp:docPr descr="Figure 3: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41"/>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3: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6368142"/>
            <wp:effectExtent b="0" l="0" r="0" t="0"/>
            <wp:docPr descr="Figure 4: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2"/>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6368142"/>
            <wp:effectExtent b="0" l="0" r="0" t="0"/>
            <wp:docPr descr="Figure 5: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bookmarkEnd w:id="44"/>
    <w:bookmarkStart w:id="270" w:name="references"/>
    <w:p>
      <w:pPr>
        <w:pStyle w:val="Heading1"/>
      </w:pPr>
      <w:r>
        <w:t xml:space="preserve">References</w:t>
      </w:r>
    </w:p>
    <w:bookmarkStart w:id="269" w:name="refs"/>
    <w:bookmarkStart w:id="46" w:name="ref-aguirre2021"/>
    <w:p>
      <w:pPr>
        <w:pStyle w:val="Bibliography"/>
      </w:pPr>
      <w:r>
        <w:t xml:space="preserve">Aguirre, B. A., Hsieh, B., Watson, S. J., &amp; Wright, A. J. (2021). The experimental manipulation of atmospheric drought: Teasing 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5">
        <w:r>
          <w:rPr>
            <w:rStyle w:val="Hyperlink"/>
          </w:rPr>
          <w:t xml:space="preserve">https://doi.org/10.1111/1365-2745.13595</w:t>
        </w:r>
      </w:hyperlink>
    </w:p>
    <w:bookmarkEnd w:id="46"/>
    <w:bookmarkStart w:id="48"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7">
        <w:r>
          <w:rPr>
            <w:rStyle w:val="Hyperlink"/>
          </w:rPr>
          <w:t xml:space="preserve">https://doi.org/10.1007/s00442-017-3879-3</w:t>
        </w:r>
      </w:hyperlink>
    </w:p>
    <w:bookmarkEnd w:id="48"/>
    <w:bookmarkStart w:id="50"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49">
        <w:r>
          <w:rPr>
            <w:rStyle w:val="Hyperlink"/>
          </w:rPr>
          <w:t xml:space="preserve">https://doi.org/10.1073/pnas.1611855114</w:t>
        </w:r>
      </w:hyperlink>
    </w:p>
    <w:bookmarkEnd w:id="50"/>
    <w:bookmarkStart w:id="52"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1">
        <w:r>
          <w:rPr>
            <w:rStyle w:val="Hyperlink"/>
          </w:rPr>
          <w:t xml:space="preserve">https://doi.org/10.1126/science.aab1833</w:t>
        </w:r>
      </w:hyperlink>
    </w:p>
    <w:bookmarkEnd w:id="52"/>
    <w:bookmarkStart w:id="54"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3">
        <w:r>
          <w:rPr>
            <w:rStyle w:val="Hyperlink"/>
          </w:rPr>
          <w:t xml:space="preserve">https://doi.org/10.1007/s11284-016-1411-6</w:t>
        </w:r>
      </w:hyperlink>
    </w:p>
    <w:bookmarkEnd w:id="54"/>
    <w:bookmarkStart w:id="56" w:name="X78417189284be4dc2281db1812eb668eb8707d8"/>
    <w:p>
      <w:pPr>
        <w:pStyle w:val="Bibliography"/>
      </w:pPr>
      <w:r>
        <w:t xml:space="preserve">Barton, K. E., &amp; Shiels, A. B. (2020). Additive and non-additive responses of seedlings to simulated herbivory and drought.</w:t>
      </w:r>
      <w:r>
        <w:t xml:space="preserve"> </w:t>
      </w:r>
      <w:r>
        <w:rPr>
          <w:iCs/>
          <w:i/>
        </w:rPr>
        <w:t xml:space="preserve">Biotropica</w:t>
      </w:r>
      <w:r>
        <w:t xml:space="preserve">,</w:t>
      </w:r>
      <w:r>
        <w:t xml:space="preserve"> </w:t>
      </w:r>
      <w:r>
        <w:rPr>
          <w:iCs/>
          <w:i/>
        </w:rPr>
        <w:t xml:space="preserve">52</w:t>
      </w:r>
      <w:r>
        <w:t xml:space="preserve">(6), 1217–1228.</w:t>
      </w:r>
      <w:r>
        <w:t xml:space="preserve"> </w:t>
      </w:r>
      <w:hyperlink r:id="rId55">
        <w:r>
          <w:rPr>
            <w:rStyle w:val="Hyperlink"/>
          </w:rPr>
          <w:t xml:space="preserve">https://doi.org/10.1111/btp.12829</w:t>
        </w:r>
      </w:hyperlink>
    </w:p>
    <w:bookmarkEnd w:id="56"/>
    <w:bookmarkStart w:id="57"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7"/>
    <w:bookmarkStart w:id="59"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8">
        <w:r>
          <w:rPr>
            <w:rStyle w:val="Hyperlink"/>
          </w:rPr>
          <w:t xml:space="preserve">https://doi.org/10.1126/science.aax9387</w:t>
        </w:r>
      </w:hyperlink>
    </w:p>
    <w:bookmarkEnd w:id="59"/>
    <w:bookmarkStart w:id="61"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0">
        <w:r>
          <w:rPr>
            <w:rStyle w:val="Hyperlink"/>
          </w:rPr>
          <w:t xml:space="preserve">https://doi.org/10.1111/btp.12010</w:t>
        </w:r>
      </w:hyperlink>
    </w:p>
    <w:bookmarkEnd w:id="61"/>
    <w:bookmarkStart w:id="62"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2"/>
    <w:bookmarkStart w:id="64"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3">
        <w:r>
          <w:rPr>
            <w:rStyle w:val="Hyperlink"/>
          </w:rPr>
          <w:t xml:space="preserve">https://doi.org/10.2307/1312085</w:t>
        </w:r>
      </w:hyperlink>
    </w:p>
    <w:bookmarkEnd w:id="64"/>
    <w:bookmarkStart w:id="66" w:name="ref-bonalResponseTropicalRainforests2016"/>
    <w:p>
      <w:pPr>
        <w:pStyle w:val="Bibliography"/>
      </w:pPr>
      <w:r>
        <w:t xml:space="preserve">Bonal, D., Burban, B., Stahl, C., Wagner, F., &amp; Hérault, B. (2016). The response of tropical rainforests to drought</w:t>
      </w:r>
      <w:r>
        <w:t xml:space="preserve">lessons from recent research and future prospects.</w:t>
      </w:r>
      <w:r>
        <w:t xml:space="preserve"> </w:t>
      </w:r>
      <w:r>
        <w:rPr>
          <w:iCs/>
          <w:i/>
        </w:rPr>
        <w:t xml:space="preserve">Annals of Forest Science</w:t>
      </w:r>
      <w:r>
        <w:t xml:space="preserve">,</w:t>
      </w:r>
      <w:r>
        <w:t xml:space="preserve"> </w:t>
      </w:r>
      <w:r>
        <w:rPr>
          <w:iCs/>
          <w:i/>
        </w:rPr>
        <w:t xml:space="preserve">73</w:t>
      </w:r>
      <w:r>
        <w:t xml:space="preserve">, 27–44.</w:t>
      </w:r>
      <w:r>
        <w:t xml:space="preserve"> </w:t>
      </w:r>
      <w:hyperlink r:id="rId65">
        <w:r>
          <w:rPr>
            <w:rStyle w:val="Hyperlink"/>
          </w:rPr>
          <w:t xml:space="preserve">https://doi.org/10.1007/s13595-015-0522-5</w:t>
        </w:r>
      </w:hyperlink>
    </w:p>
    <w:bookmarkEnd w:id="66"/>
    <w:bookmarkStart w:id="68"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7">
        <w:r>
          <w:rPr>
            <w:rStyle w:val="Hyperlink"/>
          </w:rPr>
          <w:t xml:space="preserve">https://doi.org/10.1016/j.biocon.2008.04.024</w:t>
        </w:r>
      </w:hyperlink>
    </w:p>
    <w:bookmarkEnd w:id="68"/>
    <w:bookmarkStart w:id="70"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9">
        <w:r>
          <w:rPr>
            <w:rStyle w:val="Hyperlink"/>
          </w:rPr>
          <w:t xml:space="preserve">https://doi.org/10.1016/j.tree.2011.09.008</w:t>
        </w:r>
      </w:hyperlink>
    </w:p>
    <w:bookmarkEnd w:id="70"/>
    <w:bookmarkStart w:id="72"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1">
        <w:r>
          <w:rPr>
            <w:rStyle w:val="Hyperlink"/>
          </w:rPr>
          <w:t xml:space="preserve">https://doi.org/10.1038/45963</w:t>
        </w:r>
      </w:hyperlink>
    </w:p>
    <w:bookmarkEnd w:id="72"/>
    <w:bookmarkStart w:id="74"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3">
        <w:r>
          <w:rPr>
            <w:rStyle w:val="Hyperlink"/>
          </w:rPr>
          <w:t xml:space="preserve">https://doi.org/10.1007/s00442-002-0956-y</w:t>
        </w:r>
      </w:hyperlink>
    </w:p>
    <w:bookmarkEnd w:id="74"/>
    <w:bookmarkStart w:id="76"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5">
        <w:r>
          <w:rPr>
            <w:rStyle w:val="Hyperlink"/>
          </w:rPr>
          <w:t xml:space="preserve">https://doi.org/10.1111/j.1654-1103.2009.01060.x</w:t>
        </w:r>
      </w:hyperlink>
    </w:p>
    <w:bookmarkEnd w:id="76"/>
    <w:bookmarkStart w:id="78"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77">
        <w:r>
          <w:rPr>
            <w:rStyle w:val="Hyperlink"/>
          </w:rPr>
          <w:t xml:space="preserve">https://doi.org/10.1046/j.1523-1739.2002.99494.x</w:t>
        </w:r>
      </w:hyperlink>
    </w:p>
    <w:bookmarkEnd w:id="78"/>
    <w:bookmarkStart w:id="80"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79">
        <w:r>
          <w:rPr>
            <w:rStyle w:val="Hyperlink"/>
          </w:rPr>
          <w:t xml:space="preserve">https://doi.org/10.1590/S0044-59672004000300012</w:t>
        </w:r>
      </w:hyperlink>
    </w:p>
    <w:bookmarkEnd w:id="80"/>
    <w:bookmarkStart w:id="82"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1">
        <w:r>
          <w:rPr>
            <w:rStyle w:val="Hyperlink"/>
          </w:rPr>
          <w:t xml:space="preserve">https://doi.org/10.1046/j.1365-2745.2002.00707.x</w:t>
        </w:r>
      </w:hyperlink>
    </w:p>
    <w:bookmarkEnd w:id="82"/>
    <w:bookmarkStart w:id="84" w:name="ref-brunaDemographicEffectsHabitat2005"/>
    <w:p>
      <w:pPr>
        <w:pStyle w:val="Bibliography"/>
      </w:pPr>
      <w:r>
        <w:t xml:space="preserve">Bruna, E. M., &amp; Oli, M. K. (2005). Demographic effects of habitat fragmentation on a tropical herb: Life-table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3">
        <w:r>
          <w:rPr>
            <w:rStyle w:val="Hyperlink"/>
          </w:rPr>
          <w:t xml:space="preserve">https://doi.org/10.1890/04-1716</w:t>
        </w:r>
      </w:hyperlink>
    </w:p>
    <w:bookmarkEnd w:id="84"/>
    <w:bookmarkStart w:id="86"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5">
        <w:r>
          <w:rPr>
            <w:rStyle w:val="Hyperlink"/>
          </w:rPr>
          <w:t xml:space="preserve">https://doi.org/10.3732/ajb.92.12.2101</w:t>
        </w:r>
      </w:hyperlink>
    </w:p>
    <w:bookmarkEnd w:id="86"/>
    <w:bookmarkStart w:id="88"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87">
        <w:r>
          <w:rPr>
            <w:rStyle w:val="Hyperlink"/>
          </w:rPr>
          <w:t xml:space="preserve">https://doi.org/10.1038/nclimate2100</w:t>
        </w:r>
      </w:hyperlink>
    </w:p>
    <w:bookmarkEnd w:id="88"/>
    <w:bookmarkStart w:id="90"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89">
        <w:r>
          <w:rPr>
            <w:rStyle w:val="Hyperlink"/>
          </w:rPr>
          <w:t xml:space="preserve">https://doi.org/10.1139/x90-084</w:t>
        </w:r>
      </w:hyperlink>
    </w:p>
    <w:bookmarkEnd w:id="90"/>
    <w:bookmarkStart w:id="92"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1">
        <w:r>
          <w:rPr>
            <w:rStyle w:val="Hyperlink"/>
          </w:rPr>
          <w:t xml:space="preserve">https://doi.org/10.1017/S0266467403001081</w:t>
        </w:r>
      </w:hyperlink>
    </w:p>
    <w:bookmarkEnd w:id="92"/>
    <w:bookmarkStart w:id="93"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3"/>
    <w:bookmarkStart w:id="95"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4">
        <w:r>
          <w:rPr>
            <w:rStyle w:val="Hyperlink"/>
          </w:rPr>
          <w:t xml:space="preserve">https://doi.org/10.1111/mec.12495</w:t>
        </w:r>
      </w:hyperlink>
    </w:p>
    <w:bookmarkEnd w:id="95"/>
    <w:bookmarkStart w:id="97"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6">
        <w:r>
          <w:rPr>
            <w:rStyle w:val="Hyperlink"/>
          </w:rPr>
          <w:t xml:space="preserve">https://doi.org/10.17660/ActaHortic.1995.397.7</w:t>
        </w:r>
      </w:hyperlink>
    </w:p>
    <w:bookmarkEnd w:id="97"/>
    <w:bookmarkStart w:id="98"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8"/>
    <w:bookmarkStart w:id="100"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99">
        <w:r>
          <w:rPr>
            <w:rStyle w:val="Hyperlink"/>
          </w:rPr>
          <w:t xml:space="preserve">https://doi.org/10.1038/35003563</w:t>
        </w:r>
      </w:hyperlink>
    </w:p>
    <w:bookmarkEnd w:id="100"/>
    <w:bookmarkStart w:id="102"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1">
        <w:r>
          <w:rPr>
            <w:rStyle w:val="Hyperlink"/>
          </w:rPr>
          <w:t xml:space="preserve">https://doi.org/10.1111/j.1600-0706.2011.20273.x</w:t>
        </w:r>
      </w:hyperlink>
    </w:p>
    <w:bookmarkEnd w:id="102"/>
    <w:bookmarkStart w:id="104"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3">
        <w:r>
          <w:rPr>
            <w:rStyle w:val="Hyperlink"/>
          </w:rPr>
          <w:t xml:space="preserve">https://doi.org/10.1111/j.1744-7429.1999.tb00113.x</w:t>
        </w:r>
      </w:hyperlink>
    </w:p>
    <w:bookmarkEnd w:id="104"/>
    <w:bookmarkStart w:id="105"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5"/>
    <w:bookmarkStart w:id="106" w:name="X613004dc2e8d132fbd1784032b64f0b4c98db2b"/>
    <w:p>
      <w:pPr>
        <w:pStyle w:val="Bibliography"/>
      </w:pPr>
      <w:r>
        <w:t xml:space="preserve">Dowd, C. E. (2020).</w:t>
      </w:r>
      <w:r>
        <w:t xml:space="preserve"> </w:t>
      </w:r>
      <w:r>
        <w:rPr>
          <w:iCs/>
          <w:i/>
        </w:rPr>
        <w:t xml:space="preserve">Investigating synergistic effects of climate and land-use change on the pollination of a tropical plant,</w:t>
      </w:r>
      <w:r>
        <w:rPr>
          <w:iCs/>
          <w:i/>
        </w:rPr>
        <w:t xml:space="preserve"> </w:t>
      </w:r>
      <w:r>
        <w:rPr>
          <w:iCs/>
          <w:i/>
          <w:iCs/>
          <w:i/>
        </w:rPr>
        <w:t xml:space="preserve">Heliconia tortuosa</w:t>
      </w:r>
      <w:r>
        <w:t xml:space="preserve"> </w:t>
      </w:r>
      <w:r>
        <w:t xml:space="preserve">[PhD thesis]. Oregon State University.</w:t>
      </w:r>
    </w:p>
    <w:bookmarkEnd w:id="106"/>
    <w:bookmarkStart w:id="108"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7">
        <w:r>
          <w:rPr>
            <w:rStyle w:val="Hyperlink"/>
          </w:rPr>
          <w:t xml:space="preserve">https://doi.org/10.1016/j.tree.2013.06.010</w:t>
        </w:r>
      </w:hyperlink>
    </w:p>
    <w:bookmarkEnd w:id="108"/>
    <w:bookmarkStart w:id="110"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9">
        <w:r>
          <w:rPr>
            <w:rStyle w:val="Hyperlink"/>
          </w:rPr>
          <w:t xml:space="preserve">https://doi.org/10.1073/pnas.1421010112</w:t>
        </w:r>
      </w:hyperlink>
    </w:p>
    <w:bookmarkEnd w:id="110"/>
    <w:bookmarkStart w:id="112"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1">
        <w:r>
          <w:rPr>
            <w:rStyle w:val="Hyperlink"/>
          </w:rPr>
          <w:t xml:space="preserve">https://doi.org/10.1111/j.1744-7429.2006.00098.x</w:t>
        </w:r>
      </w:hyperlink>
    </w:p>
    <w:bookmarkEnd w:id="112"/>
    <w:bookmarkStart w:id="114"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3">
        <w:r>
          <w:rPr>
            <w:rStyle w:val="Hyperlink"/>
          </w:rPr>
          <w:t xml:space="preserve">https://doi.org/10.1111/1365-2745.12523</w:t>
        </w:r>
      </w:hyperlink>
    </w:p>
    <w:bookmarkEnd w:id="114"/>
    <w:bookmarkStart w:id="115"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5"/>
    <w:bookmarkStart w:id="117"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6">
        <w:r>
          <w:rPr>
            <w:rStyle w:val="Hyperlink"/>
          </w:rPr>
          <w:t xml:space="preserve">https://doi.org/10.1111/gcb.14413</w:t>
        </w:r>
      </w:hyperlink>
    </w:p>
    <w:bookmarkEnd w:id="117"/>
    <w:bookmarkStart w:id="119"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8">
        <w:r>
          <w:rPr>
            <w:rStyle w:val="Hyperlink"/>
          </w:rPr>
          <w:t xml:space="preserve">https://doi.org/10.1111/nph.17005</w:t>
        </w:r>
      </w:hyperlink>
    </w:p>
    <w:bookmarkEnd w:id="119"/>
    <w:bookmarkStart w:id="121"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20">
        <w:r>
          <w:rPr>
            <w:rStyle w:val="Hyperlink"/>
          </w:rPr>
          <w:t xml:space="preserve">https://doi.org/10.1111/gcb.15519</w:t>
        </w:r>
      </w:hyperlink>
    </w:p>
    <w:bookmarkEnd w:id="121"/>
    <w:bookmarkStart w:id="123"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2">
        <w:r>
          <w:rPr>
            <w:rStyle w:val="Hyperlink"/>
          </w:rPr>
          <w:t xml:space="preserve">https://doi.org/10.1371/journal.pone.0058093</w:t>
        </w:r>
      </w:hyperlink>
    </w:p>
    <w:bookmarkEnd w:id="123"/>
    <w:bookmarkStart w:id="125"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4">
        <w:r>
          <w:rPr>
            <w:rStyle w:val="Hyperlink"/>
          </w:rPr>
          <w:t xml:space="preserve">https://doi.org/10.1016/j.biocon.2010.11.015</w:t>
        </w:r>
      </w:hyperlink>
    </w:p>
    <w:bookmarkEnd w:id="125"/>
    <w:bookmarkStart w:id="127"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6">
        <w:r>
          <w:rPr>
            <w:rStyle w:val="Hyperlink"/>
          </w:rPr>
          <w:t xml:space="preserve">https://doi.org/10.1016/j.ecolmodel.2019.03.007</w:t>
        </w:r>
      </w:hyperlink>
    </w:p>
    <w:bookmarkEnd w:id="127"/>
    <w:bookmarkStart w:id="129"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28">
        <w:r>
          <w:rPr>
            <w:rStyle w:val="Hyperlink"/>
          </w:rPr>
          <w:t xml:space="preserve">https://doi.org/10.18637/jss.v043.i08</w:t>
        </w:r>
      </w:hyperlink>
    </w:p>
    <w:bookmarkEnd w:id="129"/>
    <w:bookmarkStart w:id="131"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0">
        <w:r>
          <w:rPr>
            <w:rStyle w:val="Hyperlink"/>
          </w:rPr>
          <w:t xml:space="preserve">https://doi.org/10.1111/biom.12645</w:t>
        </w:r>
      </w:hyperlink>
    </w:p>
    <w:bookmarkEnd w:id="131"/>
    <w:bookmarkStart w:id="133"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2">
        <w:r>
          <w:rPr>
            <w:rStyle w:val="Hyperlink"/>
          </w:rPr>
          <w:t xml:space="preserve">https://doi.org/10.2307/2388737</w:t>
        </w:r>
      </w:hyperlink>
    </w:p>
    <w:bookmarkEnd w:id="133"/>
    <w:bookmarkStart w:id="135"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4">
        <w:r>
          <w:rPr>
            <w:rStyle w:val="Hyperlink"/>
          </w:rPr>
          <w:t xml:space="preserve">https://doi.org/10.1111/ele.13659</w:t>
        </w:r>
      </w:hyperlink>
    </w:p>
    <w:bookmarkEnd w:id="135"/>
    <w:bookmarkStart w:id="137" w:name="Xf55f06548a38bd1996d43b9d4cf907dc5cc4967"/>
    <w:p>
      <w:pPr>
        <w:pStyle w:val="Bibliography"/>
      </w:pPr>
      <w:r>
        <w:t xml:space="preserve">Guan, K., Pan, M., Li, H., Wolf, A., Wu, J., Medvigy, D., Caylor, K. K., Sheffield, J., Wood, E. F., Malhi, Y., Liang, M., Kimball, J. S., Saleska, S. R., Berry, J., Joiner, J., &amp; Lyapustin, A. I. (2015). Photosynthetic seasonality of global tropical forests constrained by hydroclimate.</w:t>
      </w:r>
      <w:r>
        <w:t xml:space="preserve"> </w:t>
      </w:r>
      <w:r>
        <w:rPr>
          <w:iCs/>
          <w:i/>
        </w:rPr>
        <w:t xml:space="preserve">Nature Geoscience</w:t>
      </w:r>
      <w:r>
        <w:t xml:space="preserve">,</w:t>
      </w:r>
      <w:r>
        <w:t xml:space="preserve"> </w:t>
      </w:r>
      <w:r>
        <w:rPr>
          <w:iCs/>
          <w:i/>
        </w:rPr>
        <w:t xml:space="preserve">8</w:t>
      </w:r>
      <w:r>
        <w:t xml:space="preserve">(4), 284–289.</w:t>
      </w:r>
      <w:r>
        <w:t xml:space="preserve"> </w:t>
      </w:r>
      <w:hyperlink r:id="rId136">
        <w:r>
          <w:rPr>
            <w:rStyle w:val="Hyperlink"/>
          </w:rPr>
          <w:t xml:space="preserve">https://doi.org/10.1038/ngeo2382</w:t>
        </w:r>
      </w:hyperlink>
    </w:p>
    <w:bookmarkEnd w:id="137"/>
    <w:bookmarkStart w:id="139"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8">
        <w:r>
          <w:rPr>
            <w:rStyle w:val="Hyperlink"/>
          </w:rPr>
          <w:t xml:space="preserve">https://doi.org/10.1126/sciadv.1500052</w:t>
        </w:r>
      </w:hyperlink>
    </w:p>
    <w:bookmarkEnd w:id="139"/>
    <w:bookmarkStart w:id="141" w:name="Xe7b20205e7fa6f14a6e6215c9a0099aa75e1526"/>
    <w:p>
      <w:pPr>
        <w:pStyle w:val="Bibliography"/>
      </w:pPr>
      <w:r>
        <w:t xml:space="preserve">He, J., Chee, C. W., &amp; Goh, C. J. (1996).</w:t>
      </w:r>
      <w:r>
        <w:t xml:space="preserve"> </w:t>
      </w:r>
      <w:r>
        <w:t xml:space="preserve">‘</w:t>
      </w:r>
      <w:r>
        <w:t xml:space="preserve">Photoinhibition</w:t>
      </w:r>
      <w:r>
        <w:t xml:space="preserve">’</w:t>
      </w:r>
      <w:r>
        <w:t xml:space="preserve"> </w:t>
      </w:r>
      <w:r>
        <w:t xml:space="preserve">of</w:t>
      </w:r>
      <w:r>
        <w:t xml:space="preserve"> </w:t>
      </w:r>
      <w:r>
        <w:rPr>
          <w:iCs/>
          <w:i/>
        </w:rPr>
        <w:t xml:space="preserve">Heliconia</w:t>
      </w:r>
      <w:r>
        <w:t xml:space="preserve"> </w:t>
      </w:r>
      <w:r>
        <w:t xml:space="preserve">under natural tropical conditions: The importance of leaf orientation for light interception and leaf temperature.</w:t>
      </w:r>
      <w:r>
        <w:t xml:space="preserve"> </w:t>
      </w:r>
      <w:r>
        <w:rPr>
          <w:iCs/>
          <w:i/>
        </w:rPr>
        <w:t xml:space="preserve">Plant, Cell &amp; Environment</w:t>
      </w:r>
      <w:r>
        <w:t xml:space="preserve">,</w:t>
      </w:r>
      <w:r>
        <w:t xml:space="preserve"> </w:t>
      </w:r>
      <w:r>
        <w:rPr>
          <w:iCs/>
          <w:i/>
        </w:rPr>
        <w:t xml:space="preserve">19</w:t>
      </w:r>
      <w:r>
        <w:t xml:space="preserve">(11), 1238–1248.</w:t>
      </w:r>
      <w:r>
        <w:t xml:space="preserve"> </w:t>
      </w:r>
      <w:hyperlink r:id="rId140">
        <w:r>
          <w:rPr>
            <w:rStyle w:val="Hyperlink"/>
          </w:rPr>
          <w:t xml:space="preserve">https://doi.org/10.1111/j.1365-3040.1996.tb00002.x</w:t>
        </w:r>
      </w:hyperlink>
    </w:p>
    <w:bookmarkEnd w:id="141"/>
    <w:bookmarkStart w:id="143"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2">
        <w:r>
          <w:rPr>
            <w:rStyle w:val="Hyperlink"/>
          </w:rPr>
          <w:t xml:space="preserve">https://doi.org/10.1111/1749-4877.12167</w:t>
        </w:r>
      </w:hyperlink>
    </w:p>
    <w:bookmarkEnd w:id="143"/>
    <w:bookmarkStart w:id="145"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4">
        <w:r>
          <w:rPr>
            <w:rStyle w:val="Hyperlink"/>
          </w:rPr>
          <w:t xml:space="preserve">https://doi.org/10.2307/1941152</w:t>
        </w:r>
      </w:hyperlink>
    </w:p>
    <w:bookmarkEnd w:id="145"/>
    <w:bookmarkStart w:id="147"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6">
        <w:r>
          <w:rPr>
            <w:rStyle w:val="Hyperlink"/>
          </w:rPr>
          <w:t xml:space="preserve">https://doi.org/10.1029/2005GL025583</w:t>
        </w:r>
      </w:hyperlink>
    </w:p>
    <w:bookmarkEnd w:id="147"/>
    <w:bookmarkStart w:id="149"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48">
        <w:r>
          <w:rPr>
            <w:rStyle w:val="Hyperlink"/>
          </w:rPr>
          <w:t xml:space="preserve">https://doi.org/10.5194/bg-2021-30</w:t>
        </w:r>
      </w:hyperlink>
    </w:p>
    <w:bookmarkEnd w:id="149"/>
    <w:bookmarkStart w:id="151"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50">
        <w:r>
          <w:rPr>
            <w:rStyle w:val="Hyperlink"/>
          </w:rPr>
          <w:t xml:space="preserve">https://doi.org/10.1088/1748-9326/9/12/124021</w:t>
        </w:r>
      </w:hyperlink>
    </w:p>
    <w:bookmarkEnd w:id="151"/>
    <w:bookmarkStart w:id="153"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2">
        <w:r>
          <w:rPr>
            <w:rStyle w:val="Hyperlink"/>
          </w:rPr>
          <w:t xml:space="preserve">https://doi.org/10.1111/ele.13485</w:t>
        </w:r>
      </w:hyperlink>
    </w:p>
    <w:bookmarkEnd w:id="153"/>
    <w:bookmarkStart w:id="155"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4">
        <w:r>
          <w:rPr>
            <w:rStyle w:val="Hyperlink"/>
          </w:rPr>
          <w:t xml:space="preserve">https://doi.org/10.1111/1365-2435.13145</w:t>
        </w:r>
      </w:hyperlink>
    </w:p>
    <w:bookmarkEnd w:id="155"/>
    <w:bookmarkStart w:id="157" w:name="X9f61dec938fe8e6e39f980058ee27353eed1aa7"/>
    <w:p>
      <w:pPr>
        <w:pStyle w:val="Bibliography"/>
      </w:pPr>
      <w:r>
        <w:t xml:space="preserve">Kress, W. J. (1983). Self-incompatibility systems in</w:t>
      </w:r>
      <w:r>
        <w:t xml:space="preserve"> </w:t>
      </w:r>
      <w:r>
        <w:t xml:space="preserve">Central American</w:t>
      </w:r>
      <w:r>
        <w:t xml:space="preserve"> </w:t>
      </w:r>
      <w:r>
        <w:rPr>
          <w:iCs/>
          <w:i/>
        </w:rPr>
        <w:t xml:space="preserve">Heliconia</w:t>
      </w:r>
      <w:r>
        <w:t xml:space="preserve">.</w:t>
      </w:r>
      <w:r>
        <w:t xml:space="preserve"> </w:t>
      </w:r>
      <w:r>
        <w:rPr>
          <w:iCs/>
          <w:i/>
        </w:rPr>
        <w:t xml:space="preserve">Evolution</w:t>
      </w:r>
      <w:r>
        <w:t xml:space="preserve">,</w:t>
      </w:r>
      <w:r>
        <w:t xml:space="preserve"> </w:t>
      </w:r>
      <w:r>
        <w:rPr>
          <w:iCs/>
          <w:i/>
        </w:rPr>
        <w:t xml:space="preserve">37</w:t>
      </w:r>
      <w:r>
        <w:t xml:space="preserve">(4), 735–744.</w:t>
      </w:r>
      <w:r>
        <w:t xml:space="preserve"> </w:t>
      </w:r>
      <w:hyperlink r:id="rId156">
        <w:r>
          <w:rPr>
            <w:rStyle w:val="Hyperlink"/>
          </w:rPr>
          <w:t xml:space="preserve">https://doi.org/10.2307/2407915</w:t>
        </w:r>
      </w:hyperlink>
    </w:p>
    <w:bookmarkEnd w:id="157"/>
    <w:bookmarkStart w:id="158"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8"/>
    <w:bookmarkStart w:id="160"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9">
        <w:r>
          <w:rPr>
            <w:rStyle w:val="Hyperlink"/>
          </w:rPr>
          <w:t xml:space="preserve">https://doi.org/10.1890/14-0330.1</w:t>
        </w:r>
      </w:hyperlink>
    </w:p>
    <w:bookmarkEnd w:id="160"/>
    <w:bookmarkStart w:id="161"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61"/>
    <w:bookmarkStart w:id="163" w:name="ref-laurance2006"/>
    <w:p>
      <w:pPr>
        <w:pStyle w:val="Bibliography"/>
      </w:pPr>
      <w:r>
        <w:t xml:space="preserve">Laurance, William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2">
        <w:r>
          <w:rPr>
            <w:rStyle w:val="Hyperlink"/>
          </w:rPr>
          <w:t xml:space="preserve">https://doi.org/10.1073/pnas.0609048103</w:t>
        </w:r>
      </w:hyperlink>
    </w:p>
    <w:bookmarkEnd w:id="163"/>
    <w:bookmarkStart w:id="164"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4"/>
    <w:bookmarkStart w:id="166"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5">
        <w:r>
          <w:rPr>
            <w:rStyle w:val="Hyperlink"/>
          </w:rPr>
          <w:t xml:space="preserve">https://doi.org/10.1111/nph.15110</w:t>
        </w:r>
      </w:hyperlink>
    </w:p>
    <w:bookmarkEnd w:id="166"/>
    <w:bookmarkStart w:id="168"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7">
        <w:r>
          <w:rPr>
            <w:rStyle w:val="Hyperlink"/>
          </w:rPr>
          <w:t xml:space="preserve">https://doi.org/10.1175/2007JCLI1600.1</w:t>
        </w:r>
      </w:hyperlink>
    </w:p>
    <w:bookmarkEnd w:id="168"/>
    <w:bookmarkStart w:id="170"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9">
        <w:r>
          <w:rPr>
            <w:rStyle w:val="Hyperlink"/>
          </w:rPr>
          <w:t xml:space="preserve">https://doi.org/10.1111/j.1469-8137.2010.03391.x</w:t>
        </w:r>
      </w:hyperlink>
    </w:p>
    <w:bookmarkEnd w:id="170"/>
    <w:bookmarkStart w:id="172"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1">
        <w:r>
          <w:rPr>
            <w:rStyle w:val="Hyperlink"/>
          </w:rPr>
          <w:t xml:space="preserve">https://doi.org/10.1016/j.csda.2011.02.004</w:t>
        </w:r>
      </w:hyperlink>
    </w:p>
    <w:bookmarkEnd w:id="172"/>
    <w:bookmarkStart w:id="173"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73"/>
    <w:bookmarkStart w:id="175"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4">
        <w:r>
          <w:rPr>
            <w:rStyle w:val="Hyperlink"/>
          </w:rPr>
          <w:t xml:space="preserve">https://doi.org/10.1038/19193</w:t>
        </w:r>
      </w:hyperlink>
    </w:p>
    <w:bookmarkEnd w:id="175"/>
    <w:bookmarkStart w:id="177"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76">
        <w:r>
          <w:rPr>
            <w:rStyle w:val="Hyperlink"/>
          </w:rPr>
          <w:t xml:space="preserve">https://doi.org/10.1038/nature12540</w:t>
        </w:r>
      </w:hyperlink>
    </w:p>
    <w:bookmarkEnd w:id="177"/>
    <w:bookmarkStart w:id="178"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8"/>
    <w:bookmarkStart w:id="180" w:name="ref-mulkeyComparativeLifeHistory1991"/>
    <w:p>
      <w:pPr>
        <w:pStyle w:val="Bibliography"/>
      </w:pPr>
      <w:r>
        <w:t xml:space="preserve">Mulkey, S. S., Smith, A. P., &amp; Wright, S. J. (1991). Comparative life history and physiology of two understory</w:t>
      </w:r>
      <w:r>
        <w:t xml:space="preserve"> </w:t>
      </w:r>
      <w:r>
        <w:t xml:space="preserve">Neotropical</w:t>
      </w:r>
      <w:r>
        <w:t xml:space="preserve"> </w:t>
      </w:r>
      <w:r>
        <w:t xml:space="preserve">herbs.</w:t>
      </w:r>
      <w:r>
        <w:t xml:space="preserve"> </w:t>
      </w:r>
      <w:r>
        <w:rPr>
          <w:iCs/>
          <w:i/>
        </w:rPr>
        <w:t xml:space="preserve">Oecologia</w:t>
      </w:r>
      <w:r>
        <w:t xml:space="preserve">,</w:t>
      </w:r>
      <w:r>
        <w:t xml:space="preserve"> </w:t>
      </w:r>
      <w:r>
        <w:rPr>
          <w:iCs/>
          <w:i/>
        </w:rPr>
        <w:t xml:space="preserve">88</w:t>
      </w:r>
      <w:r>
        <w:t xml:space="preserve">(2), 263–273.</w:t>
      </w:r>
      <w:r>
        <w:t xml:space="preserve"> </w:t>
      </w:r>
      <w:hyperlink r:id="rId179">
        <w:r>
          <w:rPr>
            <w:rStyle w:val="Hyperlink"/>
          </w:rPr>
          <w:t xml:space="preserve">https://doi.org/10.1007/BF00320821</w:t>
        </w:r>
      </w:hyperlink>
    </w:p>
    <w:bookmarkEnd w:id="180"/>
    <w:bookmarkStart w:id="182" w:name="ref-mulkeyInfluenceSeasonalDrought1996"/>
    <w:p>
      <w:pPr>
        <w:pStyle w:val="Bibliography"/>
      </w:pPr>
      <w:r>
        <w:t xml:space="preserve">Mulkey, S. S., &amp; Wright, S. J. (1996). Influence of seasonal drought on the carbon balance of tropical forest plants. In S. S. Mulkey, R. L. Chazdon, &amp; A. P. Smith (Eds.),</w:t>
      </w:r>
      <w:r>
        <w:t xml:space="preserve"> </w:t>
      </w:r>
      <w:r>
        <w:rPr>
          <w:iCs/>
          <w:i/>
        </w:rPr>
        <w:t xml:space="preserve">Tropical</w:t>
      </w:r>
      <w:r>
        <w:rPr>
          <w:iCs/>
          <w:i/>
        </w:rPr>
        <w:t xml:space="preserve"> </w:t>
      </w:r>
      <w:r>
        <w:rPr>
          <w:iCs/>
          <w:i/>
        </w:rPr>
        <w:t xml:space="preserve">Forest Plant Ecophysiology</w:t>
      </w:r>
      <w:r>
        <w:t xml:space="preserve"> </w:t>
      </w:r>
      <w:r>
        <w:t xml:space="preserve">(pp. 187–216).</w:t>
      </w:r>
      <w:r>
        <w:t xml:space="preserve"> </w:t>
      </w:r>
      <w:r>
        <w:t xml:space="preserve">Springer US</w:t>
      </w:r>
      <w:r>
        <w:t xml:space="preserve">.</w:t>
      </w:r>
      <w:r>
        <w:t xml:space="preserve"> </w:t>
      </w:r>
      <w:hyperlink r:id="rId181">
        <w:r>
          <w:rPr>
            <w:rStyle w:val="Hyperlink"/>
          </w:rPr>
          <w:t xml:space="preserve">https://doi.org/10.1007/978-1-4613-1163-8_7</w:t>
        </w:r>
      </w:hyperlink>
    </w:p>
    <w:bookmarkEnd w:id="182"/>
    <w:bookmarkStart w:id="183"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3"/>
    <w:bookmarkStart w:id="185"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4">
        <w:r>
          <w:rPr>
            <w:rStyle w:val="Hyperlink"/>
          </w:rPr>
          <w:t xml:space="preserve">https://doi.org/10.1016/j.foreco.2003.10.013</w:t>
        </w:r>
      </w:hyperlink>
    </w:p>
    <w:bookmarkEnd w:id="185"/>
    <w:bookmarkStart w:id="187"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6">
        <w:r>
          <w:rPr>
            <w:rStyle w:val="Hyperlink"/>
          </w:rPr>
          <w:t xml:space="preserve">https://doi.org/10.9735/0975-3710.10.3.5137-5139</w:t>
        </w:r>
      </w:hyperlink>
    </w:p>
    <w:bookmarkEnd w:id="187"/>
    <w:bookmarkStart w:id="189"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8">
        <w:r>
          <w:rPr>
            <w:rStyle w:val="Hyperlink"/>
          </w:rPr>
          <w:t xml:space="preserve">https://doi.org/10.1111/ele.12399</w:t>
        </w:r>
      </w:hyperlink>
    </w:p>
    <w:bookmarkEnd w:id="189"/>
    <w:bookmarkStart w:id="191"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90">
        <w:r>
          <w:rPr>
            <w:rStyle w:val="Hyperlink"/>
          </w:rPr>
          <w:t xml:space="preserve">https://doi.org/10.1038/nclimate2746</w:t>
        </w:r>
      </w:hyperlink>
    </w:p>
    <w:bookmarkEnd w:id="191"/>
    <w:bookmarkStart w:id="192" w:name="ref-opdam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2"/>
    <w:bookmarkStart w:id="194"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3">
        <w:r>
          <w:rPr>
            <w:rStyle w:val="Hyperlink"/>
          </w:rPr>
          <w:t xml:space="preserve">https://doi.org/10.1111/1365-2656.13467</w:t>
        </w:r>
      </w:hyperlink>
    </w:p>
    <w:bookmarkEnd w:id="194"/>
    <w:bookmarkStart w:id="195"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5"/>
    <w:bookmarkStart w:id="197"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6">
        <w:r>
          <w:rPr>
            <w:rStyle w:val="Hyperlink"/>
          </w:rPr>
          <w:t xml:space="preserve">https://doi.org/10.1111/j.1469-8137.2010.03359.x</w:t>
        </w:r>
      </w:hyperlink>
    </w:p>
    <w:bookmarkEnd w:id="197"/>
    <w:bookmarkStart w:id="199"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8">
        <w:r>
          <w:rPr>
            <w:rStyle w:val="Hyperlink"/>
          </w:rPr>
          <w:t xml:space="preserve">https://doi.org/10.1016/j.ecoinf.2020.101178</w:t>
        </w:r>
      </w:hyperlink>
    </w:p>
    <w:bookmarkEnd w:id="199"/>
    <w:bookmarkStart w:id="201"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0">
        <w:r>
          <w:rPr>
            <w:rStyle w:val="Hyperlink"/>
          </w:rPr>
          <w:t xml:space="preserve">https://doi.org/10.1007/s11240-012-0160-7</w:t>
        </w:r>
      </w:hyperlink>
    </w:p>
    <w:bookmarkEnd w:id="201"/>
    <w:bookmarkStart w:id="202"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2"/>
    <w:bookmarkStart w:id="204"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3">
        <w:r>
          <w:rPr>
            <w:rStyle w:val="Hyperlink"/>
          </w:rPr>
          <w:t xml:space="preserve">https://doi.org/10.1590/1809-43921992224534</w:t>
        </w:r>
      </w:hyperlink>
    </w:p>
    <w:bookmarkEnd w:id="204"/>
    <w:bookmarkStart w:id="205"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5"/>
    <w:bookmarkStart w:id="207"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6">
        <w:r>
          <w:rPr>
            <w:rStyle w:val="Hyperlink"/>
          </w:rPr>
          <w:t xml:space="preserve">https://doi.org/10.7717/peerj.9958</w:t>
        </w:r>
      </w:hyperlink>
    </w:p>
    <w:bookmarkEnd w:id="207"/>
    <w:bookmarkStart w:id="209"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8">
        <w:r>
          <w:rPr>
            <w:rStyle w:val="Hyperlink"/>
          </w:rPr>
          <w:t xml:space="preserve">https://doi.org/10.1017/S0266467498000571</w:t>
        </w:r>
      </w:hyperlink>
    </w:p>
    <w:bookmarkEnd w:id="209"/>
    <w:bookmarkStart w:id="211"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0">
        <w:r>
          <w:rPr>
            <w:rStyle w:val="Hyperlink"/>
          </w:rPr>
          <w:t xml:space="preserve">https://doi.org/10.1111/1365-2745.12334</w:t>
        </w:r>
      </w:hyperlink>
    </w:p>
    <w:bookmarkEnd w:id="211"/>
    <w:bookmarkStart w:id="213"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2">
        <w:r>
          <w:rPr>
            <w:rStyle w:val="Hyperlink"/>
          </w:rPr>
          <w:t xml:space="preserve">https://doi.org/10.1046/j.1365-2745.1999.00332.x</w:t>
        </w:r>
      </w:hyperlink>
    </w:p>
    <w:bookmarkEnd w:id="213"/>
    <w:bookmarkStart w:id="215"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4">
        <w:r>
          <w:rPr>
            <w:rStyle w:val="Hyperlink"/>
          </w:rPr>
          <w:t xml:space="preserve">https://doi.org/10.1111/btp.12355</w:t>
        </w:r>
      </w:hyperlink>
    </w:p>
    <w:bookmarkEnd w:id="215"/>
    <w:bookmarkStart w:id="217"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6">
        <w:r>
          <w:rPr>
            <w:rStyle w:val="Hyperlink"/>
          </w:rPr>
          <w:t xml:space="preserve">https://doi.org/10.1038/nature23021</w:t>
        </w:r>
      </w:hyperlink>
    </w:p>
    <w:bookmarkEnd w:id="217"/>
    <w:bookmarkStart w:id="219"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18">
        <w:r>
          <w:rPr>
            <w:rStyle w:val="Hyperlink"/>
          </w:rPr>
          <w:t xml:space="preserve">https://doi.org/10.1002/ecy.2677</w:t>
        </w:r>
      </w:hyperlink>
    </w:p>
    <w:bookmarkEnd w:id="219"/>
    <w:bookmarkStart w:id="220" w:name="ref-selwood2015"/>
    <w:p>
      <w:pPr>
        <w:pStyle w:val="Bibliography"/>
      </w:pPr>
      <w:r>
        <w:t xml:space="preserve">Selwood, K. E., McGeoch, M. A., &amp; Mac Nally, R. (2015). The effects of climate change and land-use change on demographic rates and population viability.</w:t>
      </w:r>
      <w:r>
        <w:t xml:space="preserve"> </w:t>
      </w:r>
      <w:r>
        <w:rPr>
          <w:iCs/>
          <w:i/>
        </w:rPr>
        <w:t xml:space="preserve">Biol Rev Camb Philos Soc</w:t>
      </w:r>
      <w:r>
        <w:t xml:space="preserve">,</w:t>
      </w:r>
      <w:r>
        <w:t xml:space="preserve"> </w:t>
      </w:r>
      <w:r>
        <w:rPr>
          <w:iCs/>
          <w:i/>
        </w:rPr>
        <w:t xml:space="preserve">90</w:t>
      </w:r>
      <w:r>
        <w:t xml:space="preserve">(3), 837–853.</w:t>
      </w:r>
    </w:p>
    <w:bookmarkEnd w:id="220"/>
    <w:bookmarkStart w:id="222" w:name="X0686c9b227f785d256220cfb79a7c089a8581c8"/>
    <w:p>
      <w:pPr>
        <w:pStyle w:val="Bibliography"/>
      </w:pPr>
      <w:r>
        <w:t xml:space="preserve">Sifres, A., Picó, B., Blanca, J. M., De Frutos, R., &amp; Nuez, F. (2007). Genetic structure of</w:t>
      </w:r>
      <w:r>
        <w:t xml:space="preserve"> </w:t>
      </w:r>
      <w:r>
        <w:rPr>
          <w:iCs/>
          <w:i/>
        </w:rPr>
        <w:t xml:space="preserve">Lycopersicon</w:t>
      </w:r>
      <w:r>
        <w:t xml:space="preserve"> </w:t>
      </w:r>
      <w:r>
        <w:rPr>
          <w:iCs/>
          <w:i/>
        </w:rPr>
        <w:t xml:space="preserve">pimpinellifolium</w:t>
      </w:r>
      <w:r>
        <w:t xml:space="preserve"> </w:t>
      </w:r>
      <w:r>
        <w:t xml:space="preserve">(</w:t>
      </w:r>
      <w:r>
        <w:t xml:space="preserve">Solanaceae</w:t>
      </w:r>
      <w:r>
        <w:t xml:space="preserve">) populations collected after the</w:t>
      </w:r>
      <w:r>
        <w:t xml:space="preserve"> </w:t>
      </w:r>
      <w:r>
        <w:t xml:space="preserve">ENSO</w:t>
      </w:r>
      <w:r>
        <w:t xml:space="preserve"> </w:t>
      </w:r>
      <w:r>
        <w:t xml:space="preserve">event of 1997</w:t>
      </w:r>
      <w:r>
        <w:t xml:space="preserve">.</w:t>
      </w:r>
      <w:r>
        <w:t xml:space="preserve"> </w:t>
      </w:r>
      <w:r>
        <w:rPr>
          <w:iCs/>
          <w:i/>
        </w:rPr>
        <w:t xml:space="preserve">Genetic Resources and Crop Evolution</w:t>
      </w:r>
      <w:r>
        <w:t xml:space="preserve">,</w:t>
      </w:r>
      <w:r>
        <w:t xml:space="preserve"> </w:t>
      </w:r>
      <w:r>
        <w:rPr>
          <w:iCs/>
          <w:i/>
        </w:rPr>
        <w:t xml:space="preserve">54</w:t>
      </w:r>
      <w:r>
        <w:t xml:space="preserve">(2), 359–377.</w:t>
      </w:r>
      <w:r>
        <w:t xml:space="preserve"> </w:t>
      </w:r>
      <w:hyperlink r:id="rId221">
        <w:r>
          <w:rPr>
            <w:rStyle w:val="Hyperlink"/>
          </w:rPr>
          <w:t xml:space="preserve">https://doi.org/10.1007/s10722-005-5725-4</w:t>
        </w:r>
      </w:hyperlink>
    </w:p>
    <w:bookmarkEnd w:id="222"/>
    <w:bookmarkStart w:id="224"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3">
        <w:r>
          <w:rPr>
            <w:rStyle w:val="Hyperlink"/>
          </w:rPr>
          <w:t xml:space="preserve">https://doi.org/10.1038/s41559-020-01368-x</w:t>
        </w:r>
      </w:hyperlink>
    </w:p>
    <w:bookmarkEnd w:id="224"/>
    <w:bookmarkStart w:id="226"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25">
        <w:r>
          <w:rPr>
            <w:rStyle w:val="Hyperlink"/>
          </w:rPr>
          <w:t xml:space="preserve">https://doi.org/10.1111/j.1365-2745.2005.01008.x</w:t>
        </w:r>
      </w:hyperlink>
    </w:p>
    <w:bookmarkEnd w:id="226"/>
    <w:bookmarkStart w:id="228"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27">
        <w:r>
          <w:rPr>
            <w:rStyle w:val="Hyperlink"/>
          </w:rPr>
          <w:t xml:space="preserve">https://doi.org/10.2307/2387865</w:t>
        </w:r>
      </w:hyperlink>
    </w:p>
    <w:bookmarkEnd w:id="228"/>
    <w:bookmarkStart w:id="230"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29">
        <w:r>
          <w:rPr>
            <w:rStyle w:val="Hyperlink"/>
          </w:rPr>
          <w:t xml:space="preserve">https://doi.org/10.2307/1934961</w:t>
        </w:r>
      </w:hyperlink>
    </w:p>
    <w:bookmarkEnd w:id="230"/>
    <w:bookmarkStart w:id="231"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1"/>
    <w:bookmarkStart w:id="233"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2">
        <w:r>
          <w:rPr>
            <w:rStyle w:val="Hyperlink"/>
          </w:rPr>
          <w:t xml:space="preserve">https://doi.org/10.1038/nature25508</w:t>
        </w:r>
      </w:hyperlink>
    </w:p>
    <w:bookmarkEnd w:id="233"/>
    <w:bookmarkStart w:id="235"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4">
        <w:r>
          <w:rPr>
            <w:rStyle w:val="Hyperlink"/>
          </w:rPr>
          <w:t xml:space="preserve">https://doi.org/10.1111/2041-210X.12486</w:t>
        </w:r>
      </w:hyperlink>
    </w:p>
    <w:bookmarkEnd w:id="235"/>
    <w:bookmarkStart w:id="237"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36">
        <w:r>
          <w:rPr>
            <w:rStyle w:val="Hyperlink"/>
          </w:rPr>
          <w:t xml:space="preserve">https://doi.org/10.1002/ecy.2163</w:t>
        </w:r>
      </w:hyperlink>
    </w:p>
    <w:bookmarkEnd w:id="237"/>
    <w:bookmarkStart w:id="239"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38">
        <w:r>
          <w:rPr>
            <w:rStyle w:val="Hyperlink"/>
          </w:rPr>
          <w:t xml:space="preserve">https://doi.org/10.1111/j.1744-7429.2003.tb00278.x</w:t>
        </w:r>
      </w:hyperlink>
    </w:p>
    <w:bookmarkEnd w:id="239"/>
    <w:bookmarkStart w:id="241" w:name="X2990ffae4b5729b697c683600dc97fa0cd90c99"/>
    <w:p>
      <w:pPr>
        <w:pStyle w:val="Bibliography"/>
      </w:pPr>
      <w:r>
        <w:t xml:space="preserve">Uriarte, María,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0">
        <w:r>
          <w:rPr>
            <w:rStyle w:val="Hyperlink"/>
          </w:rPr>
          <w:t xml:space="preserve">https://doi.org/10.1890/10-0709.1</w:t>
        </w:r>
      </w:hyperlink>
    </w:p>
    <w:bookmarkEnd w:id="241"/>
    <w:bookmarkStart w:id="243"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42">
        <w:r>
          <w:rPr>
            <w:rStyle w:val="Hyperlink"/>
          </w:rPr>
          <w:t xml:space="preserve">https://doi.org/10.1111/gcb.14000</w:t>
        </w:r>
      </w:hyperlink>
    </w:p>
    <w:bookmarkEnd w:id="243"/>
    <w:bookmarkStart w:id="245" w:name="ref-uriarteImpactsClimateVariability2016"/>
    <w:p>
      <w:pPr>
        <w:pStyle w:val="Bibliography"/>
      </w:pPr>
      <w:r>
        <w:t xml:space="preserve">Uriarte, María,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44">
        <w:r>
          <w:rPr>
            <w:rStyle w:val="Hyperlink"/>
          </w:rPr>
          <w:t xml:space="preserve">https://doi.org/10.1111/btp.12380</w:t>
        </w:r>
      </w:hyperlink>
    </w:p>
    <w:bookmarkEnd w:id="245"/>
    <w:bookmarkStart w:id="247"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46">
        <w:r>
          <w:rPr>
            <w:rStyle w:val="Hyperlink"/>
          </w:rPr>
          <w:t xml:space="preserve">https://doi.org/10.1890/03-5093</w:t>
        </w:r>
      </w:hyperlink>
    </w:p>
    <w:bookmarkEnd w:id="247"/>
    <w:bookmarkStart w:id="249"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48">
        <w:r>
          <w:rPr>
            <w:rStyle w:val="Hyperlink"/>
          </w:rPr>
          <w:t xml:space="preserve">https://doi.org/10.1175/2009JCLI2909.1</w:t>
        </w:r>
      </w:hyperlink>
    </w:p>
    <w:bookmarkEnd w:id="249"/>
    <w:bookmarkStart w:id="251" w:name="ref-westerbandInteractionsPlantSize2015"/>
    <w:p>
      <w:pPr>
        <w:pStyle w:val="Bibliography"/>
      </w:pPr>
      <w:r>
        <w:t xml:space="preserve">Westerband, A. C., &amp; Horvitz, C. C. (2015). Interactions between plant size and canopy openness influence vital rates and life-history tradeoffs in two</w:t>
      </w:r>
      <w:r>
        <w:t xml:space="preserve"> </w:t>
      </w:r>
      <w:r>
        <w:t xml:space="preserve">Neotropical</w:t>
      </w:r>
      <w:r>
        <w:t xml:space="preserve"> </w:t>
      </w:r>
      <w:r>
        <w:t xml:space="preserve">understory herbs.</w:t>
      </w:r>
      <w:r>
        <w:t xml:space="preserve"> </w:t>
      </w:r>
      <w:r>
        <w:rPr>
          <w:iCs/>
          <w:i/>
        </w:rPr>
        <w:t xml:space="preserve">American Journal of Botany</w:t>
      </w:r>
      <w:r>
        <w:t xml:space="preserve">,</w:t>
      </w:r>
      <w:r>
        <w:t xml:space="preserve"> </w:t>
      </w:r>
      <w:r>
        <w:rPr>
          <w:iCs/>
          <w:i/>
        </w:rPr>
        <w:t xml:space="preserve">102</w:t>
      </w:r>
      <w:r>
        <w:t xml:space="preserve">(8), 1290–1299.</w:t>
      </w:r>
      <w:r>
        <w:t xml:space="preserve"> </w:t>
      </w:r>
      <w:hyperlink r:id="rId250">
        <w:r>
          <w:rPr>
            <w:rStyle w:val="Hyperlink"/>
          </w:rPr>
          <w:t xml:space="preserve">https://doi.org/10.3732/ajb.1500041</w:t>
        </w:r>
      </w:hyperlink>
    </w:p>
    <w:bookmarkEnd w:id="251"/>
    <w:bookmarkStart w:id="253"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2">
        <w:r>
          <w:rPr>
            <w:rStyle w:val="Hyperlink"/>
          </w:rPr>
          <w:t xml:space="preserve">https://doi.org/10.1111/1365-2745.12757</w:t>
        </w:r>
      </w:hyperlink>
    </w:p>
    <w:bookmarkEnd w:id="253"/>
    <w:bookmarkStart w:id="255"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54">
        <w:r>
          <w:rPr>
            <w:rStyle w:val="Hyperlink"/>
          </w:rPr>
          <w:t xml:space="preserve">https://doi.org/10.1111/1365-2745.12369</w:t>
        </w:r>
      </w:hyperlink>
    </w:p>
    <w:bookmarkEnd w:id="255"/>
    <w:bookmarkStart w:id="257"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56">
        <w:r>
          <w:rPr>
            <w:rStyle w:val="Hyperlink"/>
          </w:rPr>
          <w:t xml:space="preserve">https://doi.org/10.1046/j.1523-1739.2000.99298.x</w:t>
        </w:r>
      </w:hyperlink>
    </w:p>
    <w:bookmarkEnd w:id="257"/>
    <w:bookmarkStart w:id="258"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58"/>
    <w:bookmarkStart w:id="260" w:name="ref-wrightSeasonalDroughtSoil1992"/>
    <w:p>
      <w:pPr>
        <w:pStyle w:val="Bibliography"/>
      </w:pPr>
      <w:r>
        <w:t xml:space="preserve">Wright, S. Joseph.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59">
        <w:r>
          <w:rPr>
            <w:rStyle w:val="Hyperlink"/>
          </w:rPr>
          <w:t xml:space="preserve">https://doi.org/10.1016/0169-5347(92)90171-7</w:t>
        </w:r>
      </w:hyperlink>
    </w:p>
    <w:bookmarkEnd w:id="260"/>
    <w:bookmarkStart w:id="262"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1">
        <w:r>
          <w:rPr>
            <w:rStyle w:val="Hyperlink"/>
          </w:rPr>
          <w:t xml:space="preserve">https://doi.org/10.1111/j.1461-0248.2005.00851.x</w:t>
        </w:r>
      </w:hyperlink>
    </w:p>
    <w:bookmarkEnd w:id="262"/>
    <w:bookmarkStart w:id="263"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63"/>
    <w:bookmarkStart w:id="265"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64">
        <w:r>
          <w:rPr>
            <w:rStyle w:val="Hyperlink"/>
          </w:rPr>
          <w:t xml:space="preserve">https://doi.org/10.1002/joc.4518</w:t>
        </w:r>
      </w:hyperlink>
    </w:p>
    <w:bookmarkEnd w:id="265"/>
    <w:bookmarkStart w:id="266"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66"/>
    <w:bookmarkStart w:id="268"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67">
        <w:r>
          <w:rPr>
            <w:rStyle w:val="Hyperlink"/>
          </w:rPr>
          <w:t xml:space="preserve">https://doi.org/10.1088/1748-9326/3/1/014002</w:t>
        </w:r>
      </w:hyperlink>
    </w:p>
    <w:bookmarkEnd w:id="268"/>
    <w:bookmarkEnd w:id="269"/>
    <w:p>
      <w:r>
        <w:br w:type="page"/>
      </w:r>
    </w:p>
    <w:bookmarkEnd w:id="270"/>
    <w:bookmarkStart w:id="271" w:name="left-over-text"/>
    <w:p>
      <w:pPr>
        <w:pStyle w:val="Heading1"/>
      </w:pPr>
      <w:r>
        <w:t xml:space="preserve">Left-over text</w:t>
      </w:r>
    </w:p>
    <w:p>
      <w:pPr>
        <w:numPr>
          <w:ilvl w:val="0"/>
          <w:numId w:val="1001"/>
        </w:numPr>
        <w:pStyle w:val="Compact"/>
      </w:pPr>
      <w:r>
        <w:t xml:space="preserve">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numPr>
          <w:ilvl w:val="0"/>
          <w:numId w:val="1001"/>
        </w:numPr>
        <w:pStyle w:val="Compact"/>
      </w:pPr>
      <w:r>
        <w:t xml:space="preserve">While the alteration of microclimate near forest edges is one of the fundamental results to have emerged from the study of fragmented landscapes</w:t>
      </w:r>
      <w:r>
        <w:t xml:space="preserve"> </w:t>
      </w:r>
      <w:r>
        <w:t xml:space="preserve">(Didham &amp; Lawton, 1999; Ewers &amp; Banks-Leite, 2013)</w:t>
      </w:r>
      <w:r>
        <w:t xml:space="preserve">, little is known regarding how variable it is. It We hypothesize that the microclimate in continuous forest plots is more stable than that in 1 ha fragments, and that this stability will demographically buffers populations in forest interiors</w:t>
      </w:r>
      <w:r>
        <w:t xml:space="preserve"> </w:t>
      </w:r>
      <w:r>
        <w:t xml:space="preserve">(Bruna et al., 2002)</w:t>
      </w:r>
      <w:r>
        <w:t xml:space="preserve">.</w:t>
      </w:r>
    </w:p>
    <w:p>
      <w:pPr>
        <w:numPr>
          <w:ilvl w:val="0"/>
          <w:numId w:val="1001"/>
        </w:numPr>
        <w:pStyle w:val="Compact"/>
      </w:pPr>
      <w:r>
        <w:t xml:space="preserve">There can be cascading effects on other species (hispine beetles that depend on Heliconia flowers/fruits, hummingbirds and seed dispersers (</w:t>
      </w:r>
      <w:r>
        <w:t xml:space="preserve"> </w:t>
      </w:r>
      <w:r>
        <w:t xml:space="preserve">Stiles (1975)</w:t>
      </w:r>
    </w:p>
    <w:p>
      <w:pPr>
        <w:numPr>
          <w:ilvl w:val="0"/>
          <w:numId w:val="1001"/>
        </w:numPr>
        <w:pStyle w:val="Compact"/>
      </w:pPr>
      <w:r>
        <w:t xml:space="preserve">eg. gene flow and genetic structure among and between plots already shaped by fragmentation (</w:t>
      </w:r>
      <w:r>
        <w:t xml:space="preserve"> </w:t>
      </w:r>
      <w:r>
        <w:t xml:space="preserve">Côrtes et al. (2013)</w:t>
      </w:r>
      <w:r>
        <w:t xml:space="preserve">, there can also be drought effects eg</w:t>
      </w:r>
      <w:r>
        <w:t xml:space="preserve"> </w:t>
      </w:r>
      <w:r>
        <w:t xml:space="preserve">Sifres et al. (2007)</w:t>
      </w:r>
      <w:r>
        <w:t xml:space="preserve">)</w:t>
      </w:r>
    </w:p>
    <w:p>
      <w:pPr>
        <w:numPr>
          <w:ilvl w:val="0"/>
          <w:numId w:val="1001"/>
        </w:numPr>
        <w:pStyle w:val="Compact"/>
      </w:pPr>
      <w:r>
        <w:t xml:space="preserve">(Janssen et al., 2021)</w:t>
      </w:r>
      <w:r>
        <w:t xml:space="preserve"> </w:t>
      </w:r>
      <w:r>
        <w:t xml:space="preserve">Used machine learning to combine remote sensing and ground surveys of literfall from published datasets. Estimates green-up, literfall, growth, etc. for central and southern america including the Amazon. Drought results in anomolously high leaf flushing at start of drought followed by increased litterfall durring the drought. Dry season droughts result in green-up, but not wet season droughts. During drought, old leaves are shed and new leaves are maintained. 2-5 months for newly flushed leaves to fully expand</w:t>
      </w:r>
    </w:p>
    <w:bookmarkEnd w:id="271"/>
    <w:bookmarkStart w:id="273" w:name="Xfff795fa07736a84483333983d4856a3f8cf9cc"/>
    <w:p>
      <w:pPr>
        <w:pStyle w:val="Heading1"/>
      </w:pPr>
      <w:r>
        <w:t xml:space="preserve">Citations / information could allocate to appropriate paragraphs</w:t>
      </w:r>
    </w:p>
    <w:p>
      <w:pPr>
        <w:numPr>
          <w:ilvl w:val="0"/>
          <w:numId w:val="1002"/>
        </w:numPr>
      </w:pPr>
      <w:r>
        <w:t xml:space="preserve">Dowd (2020)</w:t>
      </w:r>
      <w:r>
        <w:t xml:space="preserve"> </w:t>
      </w:r>
      <w:r>
        <w:t xml:space="preserve">(unpublished thesis, could write MB and ask for update): precipitation and fragmentations influenced fruit/seed production (conditional on flowering) by</w:t>
      </w:r>
      <w:r>
        <w:t xml:space="preserve"> </w:t>
      </w:r>
      <w:r>
        <w:rPr>
          <w:iCs/>
          <w:i/>
        </w:rPr>
        <w:t xml:space="preserve">Heliconia</w:t>
      </w:r>
      <w:r>
        <w:t xml:space="preserve"> </w:t>
      </w:r>
      <w:r>
        <w:t xml:space="preserve">(one step past flowering, so might be worth citing to say that there are other ways reprod. can be affected</w:t>
      </w:r>
    </w:p>
    <w:p>
      <w:pPr>
        <w:numPr>
          <w:ilvl w:val="0"/>
          <w:numId w:val="1002"/>
        </w:numPr>
      </w:pPr>
      <w:r>
        <w:t xml:space="preserve">Effects of precip extremes on understory plants can be also be indirect:</w:t>
      </w:r>
    </w:p>
    <w:p>
      <w:pPr>
        <w:numPr>
          <w:ilvl w:val="1"/>
          <w:numId w:val="1003"/>
        </w:numPr>
      </w:pPr>
      <w:r>
        <w:t xml:space="preserve">high precip = lots of clouds, less photosynthesis, less or slower growth</w:t>
      </w:r>
    </w:p>
    <w:p>
      <w:pPr>
        <w:numPr>
          <w:ilvl w:val="1"/>
          <w:numId w:val="1003"/>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&amp; Horvitz (2015)</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Barton &amp; Shiels (2020)</w:t>
      </w:r>
    </w:p>
    <w:p>
      <w:pPr>
        <w:numPr>
          <w:ilvl w:val="0"/>
          <w:numId w:val="1002"/>
        </w:numPr>
      </w:pPr>
      <w:r>
        <w:t xml:space="preserve">Mulkey &amp;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2"/>
        </w:numPr>
      </w:pPr>
      <w:r>
        <w:t xml:space="preserve">S. J. Wright &amp;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2"/>
        </w:numPr>
      </w:pPr>
      <w:r>
        <w:t xml:space="preserve">(Esteban et al., 2021)</w:t>
      </w:r>
      <w:r>
        <w:t xml:space="preserve"> </w:t>
      </w:r>
      <w:r>
        <w:t xml:space="preserve">negative effects of large positive SPEI</w:t>
      </w:r>
    </w:p>
    <w:p>
      <w:pPr>
        <w:numPr>
          <w:ilvl w:val="0"/>
          <w:numId w:val="1002"/>
        </w:numPr>
      </w:pP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p>
    <w:p>
      <w:pPr>
        <w:numPr>
          <w:ilvl w:val="0"/>
          <w:numId w:val="1002"/>
        </w:numPr>
      </w:pPr>
      <w:r>
        <w:t xml:space="preserve">Leitold et al. (2018)</w:t>
      </w:r>
      <w:r>
        <w:t xml:space="preserve"> </w:t>
      </w:r>
      <w:r>
        <w:t xml:space="preserve">increased canopy turnover during drought.</w:t>
      </w:r>
      <w:r>
        <w:t xml:space="preserve"> </w:t>
      </w:r>
      <w:r>
        <w:t xml:space="preserve">Similar increase in continuous and (large) fragments.</w:t>
      </w:r>
      <w:r>
        <w:t xml:space="preserve"> </w:t>
      </w:r>
      <w:r>
        <w:t xml:space="preserve">Increase in turnover more variable in fragments.</w:t>
      </w:r>
      <w:r>
        <w:t xml:space="preserve"> </w:t>
      </w:r>
      <w:r>
        <w:t xml:space="preserve">Coarse woody debris increased 62% during drought.</w:t>
      </w:r>
    </w:p>
    <w:p>
      <w:r>
        <w:br w:type="page"/>
      </w:r>
    </w:p>
    <w:bookmarkStart w:id="272" w:name="colophon"/>
    <w:p>
      <w:pPr>
        <w:pStyle w:val="Heading3"/>
      </w:pPr>
      <w:r>
        <w:t xml:space="preserve">Colophon</w:t>
      </w:r>
    </w:p>
    <w:p>
      <w:pPr>
        <w:pStyle w:val="FirstParagraph"/>
      </w:pPr>
      <w:r>
        <w:t xml:space="preserve">This report was generated on 2021-05-13 16:11:53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2021-05-13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bayestestR     0.9.0      2021-04-08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bslib          0.2.4      2021-01-25 [1]</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effectsize     0.4.4-1    2021-04-05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ggrepel        0.9.1      2021-01-15 [?]</w:t>
      </w:r>
      <w:r>
        <w:br/>
      </w:r>
      <w:r>
        <w:rPr>
          <w:rStyle w:val="VerbatimChar"/>
        </w:rPr>
        <w:t xml:space="preserve">#&gt;  P ggridges       0.5.3      2021-01-08 [?]</w:t>
      </w:r>
      <w:r>
        <w:br/>
      </w:r>
      <w:r>
        <w:rPr>
          <w:rStyle w:val="VerbatimChar"/>
        </w:rPr>
        <w:t xml:space="preserve">#&gt;  P git2r          0.28.0     2021-01-10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      2021-05-04 [?]</w:t>
      </w:r>
      <w:r>
        <w:br/>
      </w:r>
      <w:r>
        <w:rPr>
          <w:rStyle w:val="VerbatimChar"/>
        </w:rPr>
        <w:t xml:space="preserve">#&gt;  P gridExtra      2.3        2017-09-09 [?]</w:t>
      </w:r>
      <w:r>
        <w:br/>
      </w:r>
      <w:r>
        <w:rPr>
          <w:rStyle w:val="VerbatimChar"/>
        </w:rPr>
        <w:t xml:space="preserve">#&gt;  P gt           * 0.2.2      2020-08-05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insight        0.13.2     2021-04-01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jquerylib      0.1.4      2021-04-26 [1]</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parameters     0.13.0     2021-04-08 [?]</w:t>
      </w:r>
      <w:r>
        <w:br/>
      </w:r>
      <w:r>
        <w:rPr>
          <w:rStyle w:val="VerbatimChar"/>
        </w:rPr>
        <w:t xml:space="preserve">#&gt;  P patchwork    * 1.1.1      2020-12-17 [?]</w:t>
      </w:r>
      <w:r>
        <w:br/>
      </w:r>
      <w:r>
        <w:rPr>
          <w:rStyle w:val="VerbatimChar"/>
        </w:rPr>
        <w:t xml:space="preserve">#&gt;  P performance  * 0.7.1      2021-04-09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plyr           1.8.6      2020-03-03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sass           0.3.1      2021-01-24 [?]</w:t>
      </w:r>
      <w:r>
        <w:br/>
      </w:r>
      <w:r>
        <w:rPr>
          <w:rStyle w:val="VerbatimChar"/>
        </w:rPr>
        <w:t xml:space="preserve">#&gt;  P scales         1.1.1      2020-05-11 [?]</w:t>
      </w:r>
      <w:r>
        <w:br/>
      </w:r>
      <w:r>
        <w:rPr>
          <w:rStyle w:val="VerbatimChar"/>
        </w:rPr>
        <w:t xml:space="preserve">#&gt;  P see            0.6.3      2021-04-09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0.1.1      2021-03-28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(gavinsimpson/gratia@883196d)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/private/var/folders/b_/2vfnxxls5vs401tmhhb3wqdh0000gp/T/RtmpNoz1BC/renv-system-library</w:t>
      </w:r>
      <w:r>
        <w:br/>
      </w:r>
      <w:r>
        <w:rPr>
          <w:rStyle w:val="VerbatimChar"/>
        </w:rPr>
        <w:t xml:space="preserve">#&gt; [3] /private/var/folders/b_/2vfnxxls5vs401tmhhb3wqdh0000gp/T/RtmpFBiXAl/renv-system-library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/Users/scottericr/Documents/HeliconiaDemography</w:t>
      </w:r>
      <w:r>
        <w:br/>
      </w:r>
      <w:r>
        <w:rPr>
          <w:rStyle w:val="VerbatimChar"/>
        </w:rPr>
        <w:t xml:space="preserve">#&gt; Remote:   master @ origin (https://github.com/BrunaLab/HeliconiaDemography.git)</w:t>
      </w:r>
      <w:r>
        <w:br/>
      </w:r>
      <w:r>
        <w:rPr>
          <w:rStyle w:val="VerbatimChar"/>
        </w:rPr>
        <w:t xml:space="preserve">#&gt; Head:     [7ace11e] 2021-05-13: added one citation</w:t>
      </w:r>
    </w:p>
    <w:bookmarkEnd w:id="272"/>
    <w:bookmarkEnd w:id="273"/>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hyperlink" Id="rId236" Target="https://doi.org/10.1002/ecy.2163" TargetMode="External" /><Relationship Type="http://schemas.openxmlformats.org/officeDocument/2006/relationships/hyperlink" Id="rId218" Target="https://doi.org/10.1002/ecy.2677" TargetMode="External" /><Relationship Type="http://schemas.openxmlformats.org/officeDocument/2006/relationships/hyperlink" Id="rId264" Target="https://doi.org/10.1002/joc.4518" TargetMode="External" /><Relationship Type="http://schemas.openxmlformats.org/officeDocument/2006/relationships/hyperlink" Id="rId181" Target="https://doi.org/10.1007/978-1-4613-1163-8_7" TargetMode="External" /><Relationship Type="http://schemas.openxmlformats.org/officeDocument/2006/relationships/hyperlink" Id="rId179" Target="https://doi.org/10.1007/BF00320821" TargetMode="External" /><Relationship Type="http://schemas.openxmlformats.org/officeDocument/2006/relationships/hyperlink" Id="rId73"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221" Target="https://doi.org/10.1007/s10722-005-5725-4" TargetMode="External" /><Relationship Type="http://schemas.openxmlformats.org/officeDocument/2006/relationships/hyperlink" Id="rId200" Target="https://doi.org/10.1007/s11240-012-0160-7" TargetMode="External" /><Relationship Type="http://schemas.openxmlformats.org/officeDocument/2006/relationships/hyperlink" Id="rId53" Target="https://doi.org/10.1007/s11284-016-1411-6" TargetMode="External" /><Relationship Type="http://schemas.openxmlformats.org/officeDocument/2006/relationships/hyperlink" Id="rId65" Target="https://doi.org/10.1007/s13595-015-0522-5" TargetMode="External" /><Relationship Type="http://schemas.openxmlformats.org/officeDocument/2006/relationships/hyperlink" Id="rId259"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4"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8" Target="https://doi.org/10.1016/j.ecoinf.2020.101178" TargetMode="External" /><Relationship Type="http://schemas.openxmlformats.org/officeDocument/2006/relationships/hyperlink" Id="rId126" Target="https://doi.org/10.1016/j.ecolmodel.2019.03.007" TargetMode="External" /><Relationship Type="http://schemas.openxmlformats.org/officeDocument/2006/relationships/hyperlink" Id="rId184"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1" Target="https://doi.org/10.1017/S0266467403001081" TargetMode="External" /><Relationship Type="http://schemas.openxmlformats.org/officeDocument/2006/relationships/hyperlink" Id="rId208" Target="https://doi.org/10.1017/S0266467498000571" TargetMode="External" /><Relationship Type="http://schemas.openxmlformats.org/officeDocument/2006/relationships/hyperlink" Id="rId146"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99" Target="https://doi.org/10.1038/35003563" TargetMode="External" /><Relationship Type="http://schemas.openxmlformats.org/officeDocument/2006/relationships/hyperlink" Id="rId71" Target="https://doi.org/10.1038/45963" TargetMode="External" /><Relationship Type="http://schemas.openxmlformats.org/officeDocument/2006/relationships/hyperlink" Id="rId176" Target="https://doi.org/10.1038/nature12540" TargetMode="External" /><Relationship Type="http://schemas.openxmlformats.org/officeDocument/2006/relationships/hyperlink" Id="rId216" Target="https://doi.org/10.1038/nature23021" TargetMode="External" /><Relationship Type="http://schemas.openxmlformats.org/officeDocument/2006/relationships/hyperlink" Id="rId232" Target="https://doi.org/10.1038/nature25508" TargetMode="External" /><Relationship Type="http://schemas.openxmlformats.org/officeDocument/2006/relationships/hyperlink" Id="rId87" Target="https://doi.org/10.1038/nclimate2100" TargetMode="External" /><Relationship Type="http://schemas.openxmlformats.org/officeDocument/2006/relationships/hyperlink" Id="rId190" Target="https://doi.org/10.1038/nclimate2746" TargetMode="External" /><Relationship Type="http://schemas.openxmlformats.org/officeDocument/2006/relationships/hyperlink" Id="rId136" Target="https://doi.org/10.1038/ngeo2382" TargetMode="External" /><Relationship Type="http://schemas.openxmlformats.org/officeDocument/2006/relationships/hyperlink" Id="rId223" Target="https://doi.org/10.1038/s41559-020-01368-x" TargetMode="External" /><Relationship Type="http://schemas.openxmlformats.org/officeDocument/2006/relationships/hyperlink" Id="rId212" Target="https://doi.org/10.1046/j.1365-2745.1999.00332.x" TargetMode="External" /><Relationship Type="http://schemas.openxmlformats.org/officeDocument/2006/relationships/hyperlink" Id="rId81" Target="https://doi.org/10.1046/j.1365-2745.2002.00707.x" TargetMode="External" /><Relationship Type="http://schemas.openxmlformats.org/officeDocument/2006/relationships/hyperlink" Id="rId256" Target="https://doi.org/10.1046/j.1523-1739.2000.99298.x" TargetMode="External" /><Relationship Type="http://schemas.openxmlformats.org/officeDocument/2006/relationships/hyperlink" Id="rId77" Target="https://doi.org/10.1046/j.1523-1739.2002.99494.x" TargetMode="External" /><Relationship Type="http://schemas.openxmlformats.org/officeDocument/2006/relationships/hyperlink" Id="rId162"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67" Target="https://doi.org/10.1088/1748-9326/3/1/014002" TargetMode="External" /><Relationship Type="http://schemas.openxmlformats.org/officeDocument/2006/relationships/hyperlink" Id="rId150" Target="https://doi.org/10.1088/1748-9326/9/12/124021" TargetMode="External" /><Relationship Type="http://schemas.openxmlformats.org/officeDocument/2006/relationships/hyperlink" Id="rId154" Target="https://doi.org/10.1111/1365-2435.13145" TargetMode="External" /><Relationship Type="http://schemas.openxmlformats.org/officeDocument/2006/relationships/hyperlink" Id="rId193" Target="https://doi.org/10.1111/1365-2656.13467" TargetMode="External" /><Relationship Type="http://schemas.openxmlformats.org/officeDocument/2006/relationships/hyperlink" Id="rId210" Target="https://doi.org/10.1111/1365-2745.12334" TargetMode="External" /><Relationship Type="http://schemas.openxmlformats.org/officeDocument/2006/relationships/hyperlink" Id="rId254"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2"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42" Target="https://doi.org/10.1111/1749-4877.12167" TargetMode="External" /><Relationship Type="http://schemas.openxmlformats.org/officeDocument/2006/relationships/hyperlink" Id="rId234" Target="https://doi.org/10.1111/2041-210X.12486" TargetMode="External" /><Relationship Type="http://schemas.openxmlformats.org/officeDocument/2006/relationships/hyperlink" Id="rId130" Target="https://doi.org/10.1111/biom.12645" TargetMode="External" /><Relationship Type="http://schemas.openxmlformats.org/officeDocument/2006/relationships/hyperlink" Id="rId60" Target="https://doi.org/10.1111/btp.12010" TargetMode="External" /><Relationship Type="http://schemas.openxmlformats.org/officeDocument/2006/relationships/hyperlink" Id="rId214" Target="https://doi.org/10.1111/btp.12355" TargetMode="External" /><Relationship Type="http://schemas.openxmlformats.org/officeDocument/2006/relationships/hyperlink" Id="rId244" Target="https://doi.org/10.1111/btp.12380" TargetMode="External" /><Relationship Type="http://schemas.openxmlformats.org/officeDocument/2006/relationships/hyperlink" Id="rId55" Target="https://doi.org/10.1111/btp.12829" TargetMode="External" /><Relationship Type="http://schemas.openxmlformats.org/officeDocument/2006/relationships/hyperlink" Id="rId188" Target="https://doi.org/10.1111/ele.12399" TargetMode="External" /><Relationship Type="http://schemas.openxmlformats.org/officeDocument/2006/relationships/hyperlink" Id="rId152" Target="https://doi.org/10.1111/ele.13485" TargetMode="External" /><Relationship Type="http://schemas.openxmlformats.org/officeDocument/2006/relationships/hyperlink" Id="rId134" Target="https://doi.org/10.1111/ele.13659" TargetMode="External" /><Relationship Type="http://schemas.openxmlformats.org/officeDocument/2006/relationships/hyperlink" Id="rId242"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225" Target="https://doi.org/10.1111/j.1365-2745.2005.01008.x" TargetMode="External" /><Relationship Type="http://schemas.openxmlformats.org/officeDocument/2006/relationships/hyperlink" Id="rId140" Target="https://doi.org/10.1111/j.1365-3040.1996.tb00002.x" TargetMode="External" /><Relationship Type="http://schemas.openxmlformats.org/officeDocument/2006/relationships/hyperlink" Id="rId261" Target="https://doi.org/10.1111/j.1461-0248.2005.00851.x" TargetMode="External" /><Relationship Type="http://schemas.openxmlformats.org/officeDocument/2006/relationships/hyperlink" Id="rId196"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1" Target="https://doi.org/10.1111/j.1600-0706.2011.20273.x" TargetMode="External" /><Relationship Type="http://schemas.openxmlformats.org/officeDocument/2006/relationships/hyperlink" Id="rId75" Target="https://doi.org/10.1111/j.1654-1103.2009.01060.x" TargetMode="External" /><Relationship Type="http://schemas.openxmlformats.org/officeDocument/2006/relationships/hyperlink" Id="rId103" Target="https://doi.org/10.1111/j.1744-7429.1999.tb00113.x" TargetMode="External" /><Relationship Type="http://schemas.openxmlformats.org/officeDocument/2006/relationships/hyperlink" Id="rId238"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4"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8" Target="https://doi.org/10.1126/science.aax9387" TargetMode="External" /><Relationship Type="http://schemas.openxmlformats.org/officeDocument/2006/relationships/hyperlink" Id="rId89"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48"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3" Target="https://doi.org/10.1590/1809-43921992224534" TargetMode="External" /><Relationship Type="http://schemas.openxmlformats.org/officeDocument/2006/relationships/hyperlink" Id="rId79" Target="https://doi.org/10.1590/S0044-59672004000300012" TargetMode="External" /><Relationship Type="http://schemas.openxmlformats.org/officeDocument/2006/relationships/hyperlink" Id="rId96" Target="https://doi.org/10.17660/ActaHortic.1995.397.7" TargetMode="External" /><Relationship Type="http://schemas.openxmlformats.org/officeDocument/2006/relationships/hyperlink" Id="rId128" Target="https://doi.org/10.18637/jss.v043.i08" TargetMode="External" /><Relationship Type="http://schemas.openxmlformats.org/officeDocument/2006/relationships/hyperlink" Id="rId246" Target="https://doi.org/10.1890/03-5093" TargetMode="External" /><Relationship Type="http://schemas.openxmlformats.org/officeDocument/2006/relationships/hyperlink" Id="rId83" Target="https://doi.org/10.1890/04-1716" TargetMode="External" /><Relationship Type="http://schemas.openxmlformats.org/officeDocument/2006/relationships/hyperlink" Id="rId240" Target="https://doi.org/10.1890/10-0709.1" TargetMode="External" /><Relationship Type="http://schemas.openxmlformats.org/officeDocument/2006/relationships/hyperlink" Id="rId159" Target="https://doi.org/10.1890/14-0330.1" TargetMode="External" /><Relationship Type="http://schemas.openxmlformats.org/officeDocument/2006/relationships/hyperlink" Id="rId63" Target="https://doi.org/10.2307/1312085" TargetMode="External" /><Relationship Type="http://schemas.openxmlformats.org/officeDocument/2006/relationships/hyperlink" Id="rId229" Target="https://doi.org/10.2307/1934961" TargetMode="External" /><Relationship Type="http://schemas.openxmlformats.org/officeDocument/2006/relationships/hyperlink" Id="rId144" Target="https://doi.org/10.2307/1941152" TargetMode="External" /><Relationship Type="http://schemas.openxmlformats.org/officeDocument/2006/relationships/hyperlink" Id="rId227" Target="https://doi.org/10.2307/2387865" TargetMode="External" /><Relationship Type="http://schemas.openxmlformats.org/officeDocument/2006/relationships/hyperlink" Id="rId132" Target="https://doi.org/10.2307/2388737" TargetMode="External" /><Relationship Type="http://schemas.openxmlformats.org/officeDocument/2006/relationships/hyperlink" Id="rId156" Target="https://doi.org/10.2307/2407915" TargetMode="External" /><Relationship Type="http://schemas.openxmlformats.org/officeDocument/2006/relationships/hyperlink" Id="rId250" Target="https://doi.org/10.3732/ajb.1500041" TargetMode="External" /><Relationship Type="http://schemas.openxmlformats.org/officeDocument/2006/relationships/hyperlink" Id="rId85" Target="https://doi.org/10.3732/ajb.92.12.2101" TargetMode="External" /><Relationship Type="http://schemas.openxmlformats.org/officeDocument/2006/relationships/hyperlink" Id="rId148" Target="https://doi.org/10.5194/bg-2021-30" TargetMode="External" /><Relationship Type="http://schemas.openxmlformats.org/officeDocument/2006/relationships/hyperlink" Id="rId206" Target="https://doi.org/10.7717/peerj.9958" TargetMode="External" /><Relationship Type="http://schemas.openxmlformats.org/officeDocument/2006/relationships/hyperlink" Id="rId186"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236" Target="https://doi.org/10.1002/ecy.2163" TargetMode="External" /><Relationship Type="http://schemas.openxmlformats.org/officeDocument/2006/relationships/hyperlink" Id="rId218" Target="https://doi.org/10.1002/ecy.2677" TargetMode="External" /><Relationship Type="http://schemas.openxmlformats.org/officeDocument/2006/relationships/hyperlink" Id="rId264" Target="https://doi.org/10.1002/joc.4518" TargetMode="External" /><Relationship Type="http://schemas.openxmlformats.org/officeDocument/2006/relationships/hyperlink" Id="rId181" Target="https://doi.org/10.1007/978-1-4613-1163-8_7" TargetMode="External" /><Relationship Type="http://schemas.openxmlformats.org/officeDocument/2006/relationships/hyperlink" Id="rId179" Target="https://doi.org/10.1007/BF00320821" TargetMode="External" /><Relationship Type="http://schemas.openxmlformats.org/officeDocument/2006/relationships/hyperlink" Id="rId73"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221" Target="https://doi.org/10.1007/s10722-005-5725-4" TargetMode="External" /><Relationship Type="http://schemas.openxmlformats.org/officeDocument/2006/relationships/hyperlink" Id="rId200" Target="https://doi.org/10.1007/s11240-012-0160-7" TargetMode="External" /><Relationship Type="http://schemas.openxmlformats.org/officeDocument/2006/relationships/hyperlink" Id="rId53" Target="https://doi.org/10.1007/s11284-016-1411-6" TargetMode="External" /><Relationship Type="http://schemas.openxmlformats.org/officeDocument/2006/relationships/hyperlink" Id="rId65" Target="https://doi.org/10.1007/s13595-015-0522-5" TargetMode="External" /><Relationship Type="http://schemas.openxmlformats.org/officeDocument/2006/relationships/hyperlink" Id="rId259"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4"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8" Target="https://doi.org/10.1016/j.ecoinf.2020.101178" TargetMode="External" /><Relationship Type="http://schemas.openxmlformats.org/officeDocument/2006/relationships/hyperlink" Id="rId126" Target="https://doi.org/10.1016/j.ecolmodel.2019.03.007" TargetMode="External" /><Relationship Type="http://schemas.openxmlformats.org/officeDocument/2006/relationships/hyperlink" Id="rId184"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1" Target="https://doi.org/10.1017/S0266467403001081" TargetMode="External" /><Relationship Type="http://schemas.openxmlformats.org/officeDocument/2006/relationships/hyperlink" Id="rId208" Target="https://doi.org/10.1017/S0266467498000571" TargetMode="External" /><Relationship Type="http://schemas.openxmlformats.org/officeDocument/2006/relationships/hyperlink" Id="rId146"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99" Target="https://doi.org/10.1038/35003563" TargetMode="External" /><Relationship Type="http://schemas.openxmlformats.org/officeDocument/2006/relationships/hyperlink" Id="rId71" Target="https://doi.org/10.1038/45963" TargetMode="External" /><Relationship Type="http://schemas.openxmlformats.org/officeDocument/2006/relationships/hyperlink" Id="rId176" Target="https://doi.org/10.1038/nature12540" TargetMode="External" /><Relationship Type="http://schemas.openxmlformats.org/officeDocument/2006/relationships/hyperlink" Id="rId216" Target="https://doi.org/10.1038/nature23021" TargetMode="External" /><Relationship Type="http://schemas.openxmlformats.org/officeDocument/2006/relationships/hyperlink" Id="rId232" Target="https://doi.org/10.1038/nature25508" TargetMode="External" /><Relationship Type="http://schemas.openxmlformats.org/officeDocument/2006/relationships/hyperlink" Id="rId87" Target="https://doi.org/10.1038/nclimate2100" TargetMode="External" /><Relationship Type="http://schemas.openxmlformats.org/officeDocument/2006/relationships/hyperlink" Id="rId190" Target="https://doi.org/10.1038/nclimate2746" TargetMode="External" /><Relationship Type="http://schemas.openxmlformats.org/officeDocument/2006/relationships/hyperlink" Id="rId136" Target="https://doi.org/10.1038/ngeo2382" TargetMode="External" /><Relationship Type="http://schemas.openxmlformats.org/officeDocument/2006/relationships/hyperlink" Id="rId223" Target="https://doi.org/10.1038/s41559-020-01368-x" TargetMode="External" /><Relationship Type="http://schemas.openxmlformats.org/officeDocument/2006/relationships/hyperlink" Id="rId212" Target="https://doi.org/10.1046/j.1365-2745.1999.00332.x" TargetMode="External" /><Relationship Type="http://schemas.openxmlformats.org/officeDocument/2006/relationships/hyperlink" Id="rId81" Target="https://doi.org/10.1046/j.1365-2745.2002.00707.x" TargetMode="External" /><Relationship Type="http://schemas.openxmlformats.org/officeDocument/2006/relationships/hyperlink" Id="rId256" Target="https://doi.org/10.1046/j.1523-1739.2000.99298.x" TargetMode="External" /><Relationship Type="http://schemas.openxmlformats.org/officeDocument/2006/relationships/hyperlink" Id="rId77" Target="https://doi.org/10.1046/j.1523-1739.2002.99494.x" TargetMode="External" /><Relationship Type="http://schemas.openxmlformats.org/officeDocument/2006/relationships/hyperlink" Id="rId162"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67" Target="https://doi.org/10.1088/1748-9326/3/1/014002" TargetMode="External" /><Relationship Type="http://schemas.openxmlformats.org/officeDocument/2006/relationships/hyperlink" Id="rId150" Target="https://doi.org/10.1088/1748-9326/9/12/124021" TargetMode="External" /><Relationship Type="http://schemas.openxmlformats.org/officeDocument/2006/relationships/hyperlink" Id="rId154" Target="https://doi.org/10.1111/1365-2435.13145" TargetMode="External" /><Relationship Type="http://schemas.openxmlformats.org/officeDocument/2006/relationships/hyperlink" Id="rId193" Target="https://doi.org/10.1111/1365-2656.13467" TargetMode="External" /><Relationship Type="http://schemas.openxmlformats.org/officeDocument/2006/relationships/hyperlink" Id="rId210" Target="https://doi.org/10.1111/1365-2745.12334" TargetMode="External" /><Relationship Type="http://schemas.openxmlformats.org/officeDocument/2006/relationships/hyperlink" Id="rId254"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2"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42" Target="https://doi.org/10.1111/1749-4877.12167" TargetMode="External" /><Relationship Type="http://schemas.openxmlformats.org/officeDocument/2006/relationships/hyperlink" Id="rId234" Target="https://doi.org/10.1111/2041-210X.12486" TargetMode="External" /><Relationship Type="http://schemas.openxmlformats.org/officeDocument/2006/relationships/hyperlink" Id="rId130" Target="https://doi.org/10.1111/biom.12645" TargetMode="External" /><Relationship Type="http://schemas.openxmlformats.org/officeDocument/2006/relationships/hyperlink" Id="rId60" Target="https://doi.org/10.1111/btp.12010" TargetMode="External" /><Relationship Type="http://schemas.openxmlformats.org/officeDocument/2006/relationships/hyperlink" Id="rId214" Target="https://doi.org/10.1111/btp.12355" TargetMode="External" /><Relationship Type="http://schemas.openxmlformats.org/officeDocument/2006/relationships/hyperlink" Id="rId244" Target="https://doi.org/10.1111/btp.12380" TargetMode="External" /><Relationship Type="http://schemas.openxmlformats.org/officeDocument/2006/relationships/hyperlink" Id="rId55" Target="https://doi.org/10.1111/btp.12829" TargetMode="External" /><Relationship Type="http://schemas.openxmlformats.org/officeDocument/2006/relationships/hyperlink" Id="rId188" Target="https://doi.org/10.1111/ele.12399" TargetMode="External" /><Relationship Type="http://schemas.openxmlformats.org/officeDocument/2006/relationships/hyperlink" Id="rId152" Target="https://doi.org/10.1111/ele.13485" TargetMode="External" /><Relationship Type="http://schemas.openxmlformats.org/officeDocument/2006/relationships/hyperlink" Id="rId134" Target="https://doi.org/10.1111/ele.13659" TargetMode="External" /><Relationship Type="http://schemas.openxmlformats.org/officeDocument/2006/relationships/hyperlink" Id="rId242"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225" Target="https://doi.org/10.1111/j.1365-2745.2005.01008.x" TargetMode="External" /><Relationship Type="http://schemas.openxmlformats.org/officeDocument/2006/relationships/hyperlink" Id="rId140" Target="https://doi.org/10.1111/j.1365-3040.1996.tb00002.x" TargetMode="External" /><Relationship Type="http://schemas.openxmlformats.org/officeDocument/2006/relationships/hyperlink" Id="rId261" Target="https://doi.org/10.1111/j.1461-0248.2005.00851.x" TargetMode="External" /><Relationship Type="http://schemas.openxmlformats.org/officeDocument/2006/relationships/hyperlink" Id="rId196"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1" Target="https://doi.org/10.1111/j.1600-0706.2011.20273.x" TargetMode="External" /><Relationship Type="http://schemas.openxmlformats.org/officeDocument/2006/relationships/hyperlink" Id="rId75" Target="https://doi.org/10.1111/j.1654-1103.2009.01060.x" TargetMode="External" /><Relationship Type="http://schemas.openxmlformats.org/officeDocument/2006/relationships/hyperlink" Id="rId103" Target="https://doi.org/10.1111/j.1744-7429.1999.tb00113.x" TargetMode="External" /><Relationship Type="http://schemas.openxmlformats.org/officeDocument/2006/relationships/hyperlink" Id="rId238"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4"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8" Target="https://doi.org/10.1126/science.aax9387" TargetMode="External" /><Relationship Type="http://schemas.openxmlformats.org/officeDocument/2006/relationships/hyperlink" Id="rId89"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48"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3" Target="https://doi.org/10.1590/1809-43921992224534" TargetMode="External" /><Relationship Type="http://schemas.openxmlformats.org/officeDocument/2006/relationships/hyperlink" Id="rId79" Target="https://doi.org/10.1590/S0044-59672004000300012" TargetMode="External" /><Relationship Type="http://schemas.openxmlformats.org/officeDocument/2006/relationships/hyperlink" Id="rId96" Target="https://doi.org/10.17660/ActaHortic.1995.397.7" TargetMode="External" /><Relationship Type="http://schemas.openxmlformats.org/officeDocument/2006/relationships/hyperlink" Id="rId128" Target="https://doi.org/10.18637/jss.v043.i08" TargetMode="External" /><Relationship Type="http://schemas.openxmlformats.org/officeDocument/2006/relationships/hyperlink" Id="rId246" Target="https://doi.org/10.1890/03-5093" TargetMode="External" /><Relationship Type="http://schemas.openxmlformats.org/officeDocument/2006/relationships/hyperlink" Id="rId83" Target="https://doi.org/10.1890/04-1716" TargetMode="External" /><Relationship Type="http://schemas.openxmlformats.org/officeDocument/2006/relationships/hyperlink" Id="rId240" Target="https://doi.org/10.1890/10-0709.1" TargetMode="External" /><Relationship Type="http://schemas.openxmlformats.org/officeDocument/2006/relationships/hyperlink" Id="rId159" Target="https://doi.org/10.1890/14-0330.1" TargetMode="External" /><Relationship Type="http://schemas.openxmlformats.org/officeDocument/2006/relationships/hyperlink" Id="rId63" Target="https://doi.org/10.2307/1312085" TargetMode="External" /><Relationship Type="http://schemas.openxmlformats.org/officeDocument/2006/relationships/hyperlink" Id="rId229" Target="https://doi.org/10.2307/1934961" TargetMode="External" /><Relationship Type="http://schemas.openxmlformats.org/officeDocument/2006/relationships/hyperlink" Id="rId144" Target="https://doi.org/10.2307/1941152" TargetMode="External" /><Relationship Type="http://schemas.openxmlformats.org/officeDocument/2006/relationships/hyperlink" Id="rId227" Target="https://doi.org/10.2307/2387865" TargetMode="External" /><Relationship Type="http://schemas.openxmlformats.org/officeDocument/2006/relationships/hyperlink" Id="rId132" Target="https://doi.org/10.2307/2388737" TargetMode="External" /><Relationship Type="http://schemas.openxmlformats.org/officeDocument/2006/relationships/hyperlink" Id="rId156" Target="https://doi.org/10.2307/2407915" TargetMode="External" /><Relationship Type="http://schemas.openxmlformats.org/officeDocument/2006/relationships/hyperlink" Id="rId250" Target="https://doi.org/10.3732/ajb.1500041" TargetMode="External" /><Relationship Type="http://schemas.openxmlformats.org/officeDocument/2006/relationships/hyperlink" Id="rId85" Target="https://doi.org/10.3732/ajb.92.12.2101" TargetMode="External" /><Relationship Type="http://schemas.openxmlformats.org/officeDocument/2006/relationships/hyperlink" Id="rId148" Target="https://doi.org/10.5194/bg-2021-30" TargetMode="External" /><Relationship Type="http://schemas.openxmlformats.org/officeDocument/2006/relationships/hyperlink" Id="rId206" Target="https://doi.org/10.7717/peerj.9958" TargetMode="External" /><Relationship Type="http://schemas.openxmlformats.org/officeDocument/2006/relationships/hyperlink" Id="rId186"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leads to demographic divergence in Amazonian forest fragments</dc:title>
  <dc:creator>Eric R. Scott1,✉, María Uriarte2, and Emilio M. Bruna1,3,4</dc:creator>
  <cp:keywords/>
  <dcterms:created xsi:type="dcterms:W3CDTF">2021-05-13T20:11:57Z</dcterms:created>
  <dcterms:modified xsi:type="dcterms:W3CDTF">2021-05-13T20:11:57Z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 34,281 year x individual measurments!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references.bib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templates/global-change-biology.csl</vt:lpwstr>
  </property>
  <property fmtid="{D5CDD505-2E9C-101B-9397-08002B2CF9AE}" pid="16" name="date">
    <vt:lpwstr>13 May, 2021</vt:lpwstr>
  </property>
  <property fmtid="{D5CDD505-2E9C-101B-9397-08002B2CF9AE}" pid="17" name="editor_options">
    <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Figure</vt:lpwstr>
  </property>
  <property fmtid="{D5CDD505-2E9C-101B-9397-08002B2CF9AE}" pid="26" name="highlights">
    <vt:lpwstr>These are the highlights</vt:lpwstr>
  </property>
  <property fmtid="{D5CDD505-2E9C-101B-9397-08002B2CF9AE}" pid="27" name="lastDelim">
    <vt:lpwstr>, </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output">
    <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