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9.png" ContentType="image/png"/>
  <Override PartName="/word/media/rId38.png" ContentType="image/png"/>
  <Override PartName="/word/media/rId36.png" ContentType="image/png"/>
  <Override PartName="/word/media/rId35.png" ContentType="image/png"/>
  <Override PartName="/word/media/rId23.png" ContentType="image/png"/>
  <Override PartName="/word/media/rId31.png" ContentType="image/png"/>
  <Override PartName="/word/media/rId3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06</w:t>
      </w:r>
      <w:r>
        <w:t xml:space="preserve"> </w:t>
      </w:r>
      <w:r>
        <w:t xml:space="preserve">April,</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
        </w:rPr>
        <w:t xml:space="preserve">Heliconia acuminata</w:t>
      </w:r>
      <w:r>
        <w:t xml:space="preserve">; drought; ENSO; edge effects</w:t>
      </w:r>
    </w:p>
    <w:p>
      <w:pPr>
        <w:pStyle w:val="BodyText"/>
      </w:pPr>
      <w:r>
        <w:t xml:space="preserve">Highlights: These are the highlights</w:t>
      </w:r>
    </w:p>
    <w:bookmarkStart w:id="22"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w:t>
      </w:r>
      <w:r>
        <w:t xml:space="preserve"> </w:t>
      </w:r>
      <w:r>
        <w:t xml:space="preserve">Deforestation also results in landscapes where the remaining forest can be highly fragmented, with remnants of different sizes embedded in a matrix of often highly-contrasting habitat.</w:t>
      </w:r>
      <w:r>
        <w:t xml:space="preserve"> </w:t>
      </w:r>
      <w:r>
        <w:t xml:space="preserve">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w:t>
      </w:r>
      <w:r>
        <w:t xml:space="preserve"> </w:t>
      </w:r>
      <w:r>
        <w:t xml:space="preserve">However, it is often assumed that that the dramatically altered environmental conditions often observed in fragments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w:t>
      </w:r>
      <w:r>
        <w:t xml:space="preserve"> </w:t>
      </w:r>
      <w:r>
        <w:t xml:space="preserve">This is thought to be particularly true in species-rich tropical forests</w:t>
      </w:r>
      <w:r>
        <w:t xml:space="preserve"> </w:t>
      </w:r>
      <w:r>
        <w:t xml:space="preserve">(Didham and Lawton 1999, Laurance et al. 2001)</w:t>
      </w:r>
      <w:r>
        <w:t xml:space="preserve">, which continue to be cleared and fragmented at unprecedented rates.</w:t>
      </w:r>
      <w:r>
        <w:t xml:space="preserve"> </w:t>
      </w:r>
      <w:r>
        <w:t xml:space="preserve">For example, over 24 million ha of the Brazilian Amazon have been cleared in the last two decades</w:t>
      </w:r>
      <w:r>
        <w:t xml:space="preserve"> </w:t>
      </w:r>
      <w:r>
        <w:rPr>
          <w:i/>
        </w:rPr>
        <w:t xml:space="preserve">(CITATION_4)</w:t>
      </w:r>
      <w:r>
        <w:t xml:space="preserve">, resulting in extensive fragmentation and creation of over 70,000 km of new forest edges annually</w:t>
      </w:r>
      <w:r>
        <w:t xml:space="preserve"> </w:t>
      </w:r>
      <w:r>
        <w:t xml:space="preserve">(Broadbent et al. 2008)</w:t>
      </w:r>
      <w:r>
        <w:t xml:space="preserve">.</w:t>
      </w:r>
      <w:r>
        <w:t xml:space="preserve"> </w:t>
      </w:r>
      <w:r>
        <w:t xml:space="preserve">Despite this, evidence linking fragmentation-related changes in environmental conditions with population-level demographic responses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w:t>
      </w:r>
      <w:r>
        <w:t xml:space="preserve"> </w:t>
      </w:r>
      <w:r>
        <w:t xml:space="preserve">These effects may be especially pronounced in Amazonia, parts of which have been experiencing a drying trend since the mid-1970s and where climate models for the 21st century predict substantial decreases in dry season precipitation</w:t>
      </w:r>
      <w:r>
        <w:t xml:space="preserve"> </w:t>
      </w:r>
      <w:r>
        <w:t xml:space="preserve">(Malhi et al. 2008)</w:t>
      </w:r>
      <w:r>
        <w:t xml:space="preserve"> </w:t>
      </w:r>
      <w:r>
        <w:t xml:space="preserve">and increases in both drought frequency and severity</w:t>
      </w:r>
      <w:r>
        <w:t xml:space="preserve"> </w:t>
      </w:r>
      <w:r>
        <w:t xml:space="preserve">(Zeng et al. 2008, Mora et al. 2013, Cai et al. 2014)</w:t>
      </w:r>
      <w:r>
        <w:t xml:space="preserve">.</w:t>
      </w:r>
      <w:r>
        <w:t xml:space="preserve"> </w:t>
      </w:r>
      <w:r>
        <w:t xml:space="preserve">All of these factors have the potential to exacerbate the microclimatic changes observed in forest fragments that are hypothesized to make populations demographically vulnerable.</w:t>
      </w:r>
      <w:r>
        <w:t xml:space="preserve"> </w:t>
      </w:r>
      <w:r>
        <w:t xml:space="preserve">Plants, unlike animals, are unable to move in response to increased in air temperature, decreased relative humidity, reduced soil moisture, or the increased penetration of solar radiation in the forest understory resulting from fragmentation</w:t>
      </w:r>
      <w:r>
        <w:t xml:space="preserve"> </w:t>
      </w:r>
      <w:r>
        <w:t xml:space="preserve">(Didham and Lawton 1999, Ewers and Banks-Leite 2013, Arroyo-Rodríguez et al. 2017)</w:t>
      </w:r>
      <w:r>
        <w:t xml:space="preserve">.</w:t>
      </w:r>
      <w:r>
        <w:t xml:space="preserve"> </w:t>
      </w:r>
      <w:r>
        <w:t xml:space="preserve">Alternatively,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Ehrlén et al. 2016)</w:t>
      </w:r>
      <w:r>
        <w:t xml:space="preserve">, making it challenging to draw broader demographic conclusions.</w:t>
      </w:r>
      <w:r>
        <w:t xml:space="preserve"> </w:t>
      </w:r>
      <w:r>
        <w:t xml:space="preserve">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Salguero-Gomez et al. 2015)</w:t>
      </w:r>
      <w:r>
        <w:t xml:space="preserve">.</w:t>
      </w:r>
      <w:r>
        <w:t xml:space="preserve"> </w:t>
      </w:r>
      <w:r>
        <w:t xml:space="preserve">These data are critical not only because they allow for capturing variation in climatic conditions and the resulting demographic responses</w:t>
      </w:r>
      <w:r>
        <w:t xml:space="preserve"> </w:t>
      </w:r>
      <w:r>
        <w:t xml:space="preserve">(Morris and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Schwalm et al. 2017, Kannenberg et al. 2020, Evers et al. 2021)</w:t>
      </w:r>
      <w:r>
        <w:t xml:space="preserve">.</w:t>
      </w:r>
    </w:p>
    <w:p>
      <w:pPr>
        <w:pStyle w:val="BodyText"/>
      </w:pPr>
      <w:r>
        <w:t xml:space="preserve">We used a decade of demographic and climatic data to assess the effects of climate on populations of a tropical understory herb (</w:t>
      </w:r>
      <w:r>
        <w:rPr>
          <w:i/>
        </w:rPr>
        <w:t xml:space="preserve">Heliconia acuminata</w:t>
      </w:r>
      <w:r>
        <w:t xml:space="preserve">, Heliconiaceae) in an experimentally fragmented landscape in the Central Amazon.</w:t>
      </w:r>
      <w:r>
        <w:t xml:space="preserve"> </w:t>
      </w:r>
      <w:r>
        <w:t xml:space="preserve">This time series includes</w:t>
      </w:r>
      <w:r>
        <w:t xml:space="preserve"> </w:t>
      </w:r>
      <w:r>
        <w:t xml:space="preserve">“</w:t>
      </w:r>
      <w:r>
        <w:t xml:space="preserve">famous</w:t>
      </w:r>
      <w:r>
        <w:t xml:space="preserve">”</w:t>
      </w:r>
      <w:r>
        <w:t xml:space="preserve"> </w:t>
      </w:r>
      <w:r>
        <w:t xml:space="preserve">Amazonian droughts in 1997</w:t>
      </w:r>
      <w:r>
        <w:t xml:space="preserve"> </w:t>
      </w:r>
      <w:r>
        <w:t xml:space="preserve">(McPhaden 1999)</w:t>
      </w:r>
      <w:r>
        <w:t xml:space="preserve"> </w:t>
      </w:r>
      <w:r>
        <w:t xml:space="preserve">and 2005</w:t>
      </w:r>
      <w:r>
        <w:t xml:space="preserve">(Zeng et al. 2008, Marengo et al. 2008)</w:t>
      </w:r>
      <w:r>
        <w:t xml:space="preserve"> </w:t>
      </w:r>
      <w:r>
        <w:t xml:space="preserve">that were called</w:t>
      </w:r>
      <w:r>
        <w:t xml:space="preserve"> </w:t>
      </w:r>
      <w:r>
        <w:t xml:space="preserve">“</w:t>
      </w:r>
      <w:r>
        <w:t xml:space="preserve">once in a century</w:t>
      </w:r>
      <w:r>
        <w:t xml:space="preserve">”</w:t>
      </w:r>
      <w:r>
        <w:t xml:space="preserve"> </w:t>
      </w:r>
      <w:r>
        <w:t xml:space="preserve">climate events.</w:t>
      </w:r>
      <w:r>
        <w:t xml:space="preserve"> </w:t>
      </w:r>
      <w:r>
        <w:t xml:space="preserve">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w:t>
      </w:r>
      <w:r>
        <w:t xml:space="preserve"> </w:t>
      </w:r>
      <w:r>
        <w:t xml:space="preserve">Nevertheless, the impacts of global change phenomena on their demography remain conspicuously understudied</w:t>
      </w:r>
      <w:r>
        <w:t xml:space="preserve"> </w:t>
      </w:r>
      <w:r>
        <w:rPr>
          <w:i/>
          <w:b/>
          <w:u w:val="single"/>
        </w:rPr>
        <w:t xml:space="preserve">(CITATION Bruna, Gaoue)</w:t>
      </w:r>
      <w:r>
        <w:t xml:space="preserve">.</w:t>
      </w:r>
      <w:r>
        <w:t xml:space="preserve"> </w:t>
      </w:r>
      <w:r>
        <w:t xml:space="preserve">We addressed the following questions:</w:t>
      </w:r>
      <w:r>
        <w:br/>
      </w:r>
      <w:r>
        <w:br/>
      </w:r>
      <w:r>
        <w:t xml:space="preserve">&lt;</w:t>
      </w:r>
      <w:r>
        <w:t xml:space="preserve"> </w:t>
      </w:r>
      <w:r>
        <w:t xml:space="preserve">!–# Gaoue =</w:t>
      </w:r>
      <w:r>
        <w:t xml:space="preserve"> </w:t>
      </w:r>
      <w:r>
        <w:t xml:space="preserve">? Orou G. Gaoue, Carol C. Horvitz, Ulrich K. Steiner, Shripad Tuljapurkar, Climate, rather than human disturbance, is the main driver of age-specific mortality trajectories in a tropical tree, Ecological Modelling, Volume 400, 2019, Pages 34-40,</w:t>
      </w:r>
      <w:hyperlink r:id="rId21">
        <w:r>
          <w:rPr>
            <w:rStyle w:val="Hyperlink"/>
          </w:rPr>
          <w:t xml:space="preserve">https://doi.org/10.1016/j.ecolmodel.2019.03.007</w:t>
        </w:r>
      </w:hyperlink>
      <w:r>
        <w:t xml:space="preserve">. –</w:t>
      </w:r>
      <w:r>
        <w:t xml:space="preserve"> </w:t>
      </w:r>
      <w:r>
        <w:t xml:space="preserve">&gt;</w:t>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responses,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2"/>
    <w:bookmarkStart w:id="29" w:name="methods"/>
    <w:p>
      <w:pPr>
        <w:pStyle w:val="Heading1"/>
      </w:pPr>
      <w:r>
        <w:t xml:space="preserve">Methods</w:t>
      </w:r>
    </w:p>
    <w:bookmarkStart w:id="24"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4"/>
    <w:bookmarkStart w:id="25" w:name="focal-species"/>
    <w:p>
      <w:pPr>
        <w:pStyle w:val="Heading2"/>
      </w:pPr>
      <w:r>
        <w:t xml:space="preserve">Focal species</w:t>
      </w:r>
    </w:p>
    <w:p>
      <w:pPr>
        <w:pStyle w:val="FirstParagraph"/>
      </w:pPr>
      <w:r>
        <w:rPr>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
        </w:rPr>
        <w:t xml:space="preserve">Heliconia</w:t>
      </w:r>
      <w:r>
        <w:t xml:space="preserve"> </w:t>
      </w:r>
      <w:r>
        <w:t xml:space="preserve">species grow in large patches along forest edges or in treefall gaps, others—such as</w:t>
      </w:r>
      <w:r>
        <w:t xml:space="preserve"> </w:t>
      </w:r>
      <w:r>
        <w:rPr>
          <w:i/>
        </w:rPr>
        <w:t xml:space="preserve">H. acuminata</w:t>
      </w:r>
      <w:r>
        <w:t xml:space="preserve">—are found at lower densities in the darker and cooler forest understory.</w:t>
      </w:r>
      <w:r>
        <w:t xml:space="preserve"> </w:t>
      </w:r>
      <w:r>
        <w:t xml:space="preserve">These species produce fewer infloresences and are pollinated by traplining rather than territorial hummingbirds</w:t>
      </w:r>
      <w:r>
        <w:t xml:space="preserve"> </w:t>
      </w:r>
      <w:r>
        <w:t xml:space="preserve">(Berry and Kress 1991)</w:t>
      </w:r>
      <w:r>
        <w:t xml:space="preserve">.</w:t>
      </w:r>
      <w:r>
        <w:t xml:space="preserve"> </w:t>
      </w:r>
      <w:r>
        <w:t xml:space="preserve">While some</w:t>
      </w:r>
      <w:r>
        <w:t xml:space="preserve"> </w:t>
      </w:r>
      <w:r>
        <w:rPr>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
        </w:rPr>
        <w:t xml:space="preserve">Heliconia acuminata</w:t>
      </w:r>
      <w:r>
        <w:t xml:space="preserve"> </w:t>
      </w:r>
      <w:r>
        <w:t xml:space="preserve">is extremely rare</w:t>
      </w:r>
      <w:r>
        <w:t xml:space="preserve"> </w:t>
      </w:r>
      <w:r>
        <w:rPr>
          <w:i/>
        </w:rPr>
        <w:t xml:space="preserve">[darrigo unpubl. data]</w:t>
      </w:r>
      <w:r>
        <w:t xml:space="preserve">.</w:t>
      </w:r>
    </w:p>
    <w:p>
      <w:pPr>
        <w:pStyle w:val="BodyText"/>
      </w:pPr>
      <w:r>
        <w:t xml:space="preserve">In our sites</w:t>
      </w:r>
      <w:r>
        <w:t xml:space="preserve"> </w:t>
      </w:r>
      <w:r>
        <w:rPr>
          <w:i/>
        </w:rPr>
        <w:t xml:space="preserve">H. acuminata</w:t>
      </w:r>
      <w:r>
        <w:t xml:space="preserve"> </w:t>
      </w:r>
      <w:r>
        <w:t xml:space="preserve">is pollinated by</w:t>
      </w:r>
      <w:r>
        <w:t xml:space="preserve"> </w:t>
      </w:r>
      <w:r>
        <w:rPr>
          <w:i/>
        </w:rPr>
        <w:t xml:space="preserve">Phaeothornis superciliosus</w:t>
      </w:r>
      <w:r>
        <w:t xml:space="preserve"> </w:t>
      </w:r>
      <w:r>
        <w:t xml:space="preserve">and</w:t>
      </w:r>
      <w:r>
        <w:t xml:space="preserve"> </w:t>
      </w:r>
      <w:r>
        <w:rPr>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oMath>
      <w:r>
        <w:t xml:space="preserve"> </w:t>
      </w:r>
      <w:r>
        <w:t xml:space="preserve">=</w:t>
      </w:r>
      <w:r>
        <w:t xml:space="preserve"> </w:t>
      </w:r>
      <w:r>
        <w:rPr>
          <w:b/>
        </w:rPr>
        <w:t xml:space="preserve">1.1</w:t>
      </w:r>
      <w:r>
        <w:t xml:space="preserve"> </w:t>
      </w:r>
      <w:r>
        <w:t xml:space="preserve">flowering shoots (range = 1-7), each of which has an inflorescence with 20–25 flowers</w:t>
      </w:r>
      <w:r>
        <w:t xml:space="preserve"> </w:t>
      </w:r>
      <w:r>
        <w:t xml:space="preserve">(Bruna and Kress 2002)</w:t>
      </w:r>
      <w:r>
        <w:t xml:space="preserve">.</w:t>
      </w:r>
      <w:r>
        <w:t xml:space="preserve"> </w:t>
      </w:r>
      <w:r>
        <w:t xml:space="preserve">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5"/>
    <w:bookmarkStart w:id="26"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t>×</m:t>
        </m:r>
        <m:r>
          <m:t>100</m:t>
        </m:r>
      </m:oMath>
      <w:r>
        <w:t xml:space="preserve">m) in the BDFFP reserves in which we marked and measured all</w:t>
      </w:r>
      <w:r>
        <w:t xml:space="preserve"> </w:t>
      </w:r>
      <w:r>
        <w:rPr>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w:t>
      </w:r>
      <w:r>
        <w:t xml:space="preserve"> </w:t>
      </w:r>
      <w:r>
        <w:t xml:space="preserve">Plants that were not found for three consecutive surveys were considered dead.</w:t>
      </w:r>
      <w:r>
        <w:t xml:space="preserve"> </w:t>
      </w:r>
      <w:r>
        <w:t xml:space="preserve">There is a seven-fold range in</w:t>
      </w:r>
      <w:r>
        <w:t xml:space="preserve"> </w:t>
      </w:r>
      <w:r>
        <w:rPr>
          <w:i/>
        </w:rPr>
        <w:t xml:space="preserve">H. acuminata</w:t>
      </w:r>
      <w:r>
        <w:t xml:space="preserve"> </w:t>
      </w:r>
      <w:r>
        <w:t xml:space="preserve">density in the forest plots, with density in several of the plots comparable to that in low-density fragments</w:t>
      </w:r>
      <w:r>
        <w:t xml:space="preserve"> </w:t>
      </w:r>
      <w:r>
        <w:t xml:space="preserve">(Bruna and Kress 2002)</w:t>
      </w:r>
      <w:r>
        <w:t xml:space="preserve">.</w:t>
      </w:r>
    </w:p>
    <w:bookmarkEnd w:id="26"/>
    <w:bookmarkStart w:id="27" w:name="weather-data"/>
    <w:p>
      <w:pPr>
        <w:pStyle w:val="Heading2"/>
      </w:pPr>
      <w:r>
        <w:t xml:space="preserve">Weather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2017a, R Core Team 2020)</w:t>
      </w:r>
      <w:r>
        <w:t xml:space="preserve">.</w:t>
      </w:r>
      <w:r>
        <w:t xml:space="preserve"> </w:t>
      </w:r>
      <w:r>
        <w:t xml:space="preserve">The timing of drought events based on these SPEI calculations is consistent with that resulting from SPEI calculated with other data sources (e.g., nearby weather stations, the global SPEI database</w:t>
      </w:r>
      <w:r>
        <w:t xml:space="preserve"> </w:t>
      </w:r>
      <w:r>
        <w:t xml:space="preserve">(Beguería 2017b)</w:t>
      </w:r>
      <w:r>
        <w:t xml:space="preserve">, TRMM</w:t>
      </w:r>
      <w:r>
        <w:t xml:space="preserve"> </w:t>
      </w:r>
      <w:r>
        <w:t xml:space="preserve">(</w:t>
      </w:r>
      <w:r>
        <w:t xml:space="preserve">“TRMM (TMPA/3B43) rainfall estimate L3 1 month 0.25 degree x 0.25 degree V7”</w:t>
      </w:r>
      <w:r>
        <w:t xml:space="preserve"> </w:t>
      </w:r>
      <w:r>
        <w:t xml:space="preserve">2011)</w:t>
      </w:r>
      <w:r>
        <w:t xml:space="preserve">), though the magnitude of drought can sometimes differ (</w:t>
      </w:r>
      <w:r>
        <w:rPr>
          <w:b/>
        </w:rPr>
        <w:t xml:space="preserve">Supplemental __</w:t>
      </w:r>
      <w:r>
        <w:t xml:space="preserve">).</w:t>
      </w:r>
      <w:r>
        <w:t xml:space="preserve"> </w:t>
      </w:r>
    </w:p>
    <w:bookmarkEnd w:id="27"/>
    <w:bookmarkStart w:id="28" w:name="statistical-modeling-of-vital-rates"/>
    <w:p>
      <w:pPr>
        <w:pStyle w:val="Heading2"/>
      </w:pPr>
      <w:r>
        <w:t xml:space="preserve">Statistical Modeling of Vital Rates</w:t>
      </w:r>
    </w:p>
    <w:p>
      <w:pPr>
        <w:pStyle w:val="FirstParagraph"/>
      </w:pPr>
      <w:r>
        <w:t xml:space="preserve">We assessed the effects of drought history on plant vital rates using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Crossbasis functions were created using the</w:t>
      </w:r>
      <w:r>
        <w:t xml:space="preserve"> </w:t>
      </w:r>
      <w:r>
        <w:rPr>
          <w:i/>
        </w:rPr>
        <w:t xml:space="preserve">dlnm</w:t>
      </w:r>
      <w:r>
        <w:t xml:space="preserve"> </w:t>
      </w:r>
      <w:r>
        <w:t xml:space="preserve">package with possible lags from 0–36 months</w:t>
      </w:r>
      <w:r>
        <w:t xml:space="preserve"> </w:t>
      </w:r>
      <w:r>
        <w:t xml:space="preserve">(Gasparrini 2011, R Core Team 2020)</w:t>
      </w:r>
      <w:r>
        <w:t xml:space="preserve">.</w:t>
      </w:r>
      <w:r>
        <w:t xml:space="preserve"> </w:t>
      </w:r>
      <w:r>
        <w:t xml:space="preserve">We chose 36 months as a maximum lag because prior</w:t>
      </w:r>
      <w:r>
        <w:t xml:space="preserve"> </w:t>
      </w:r>
      <w:r>
        <w:rPr>
          <w:i/>
        </w:rPr>
        <w:t xml:space="preserve">H. acuminata</w:t>
      </w:r>
      <w:r>
        <w:t xml:space="preserve"> </w:t>
      </w:r>
      <w:r>
        <w:t xml:space="preserve">individuals transplanted to forest fragments typically recovered from transplant shock within 36 months</w:t>
      </w:r>
      <w:r>
        <w:t xml:space="preserve"> </w:t>
      </w:r>
      <w:r>
        <w:t xml:space="preserve">(Bruna et al. 2002)</w:t>
      </w:r>
      <w:r>
        <w:t xml:space="preserve"> </w:t>
      </w:r>
      <w:r>
        <w:t xml:space="preserve">so this is a reasonable upper bound for lagged effects of drought.</w:t>
      </w:r>
      <w:r>
        <w:t xml:space="preserve"> </w:t>
      </w:r>
      <w:r>
        <w:t xml:space="preserve">The crossbasis function was fit to the data in the context of a generalized additive model (GAM) using the</w:t>
      </w:r>
      <w:r>
        <w:t xml:space="preserve"> </w:t>
      </w:r>
      <w:r>
        <w:rPr>
          <w:i/>
        </w:rPr>
        <w:t xml:space="preserve">mgcv</w:t>
      </w:r>
      <w:r>
        <w:t xml:space="preserve"> </w:t>
      </w:r>
      <w:r>
        <w:t xml:space="preserve">package with restricted maximum likelihood</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t xml:space="preserve">where</w:t>
      </w:r>
      <w:r>
        <w:t xml:space="preserve"> </w:t>
      </w:r>
      <m:oMath>
        <m:sSub>
          <m:e>
            <m:r>
              <m:t>s</m:t>
            </m:r>
          </m:e>
          <m:sub>
            <m:r>
              <m:t>1</m:t>
            </m:r>
          </m:sub>
        </m:sSub>
        <m:r>
          <m:t>(</m:t>
        </m:r>
        <m:sSub>
          <m:e>
            <m:r>
              <m:t>x</m:t>
            </m:r>
          </m:e>
          <m:sub>
            <m:r>
              <m:t>i</m:t>
            </m:r>
          </m:sub>
        </m:sSub>
        <m:r>
          <m:t>)</m:t>
        </m:r>
      </m:oMath>
      <w:r>
        <w:t xml:space="preserve"> </w:t>
      </w:r>
      <w:r>
        <w:t xml:space="preserve">is a smooth function of plant size (natural log of height</w:t>
      </w:r>
      <w:r>
        <w:t xml:space="preserve"> </w:t>
      </w:r>
      <m:oMath>
        <m:r>
          <m:t>×</m:t>
        </m:r>
      </m:oMath>
      <w:r>
        <w:t xml:space="preserve"> </w:t>
      </w:r>
      <w:r>
        <w:t xml:space="preserve">shoot number), fit using a penalized cubic regression spline,</w:t>
      </w:r>
      <w:r>
        <w:t xml:space="preserve"> </w:t>
      </w:r>
      <m:oMath>
        <m:sSub>
          <m:e>
            <m:r>
              <m:t>s</m:t>
            </m:r>
          </m:e>
          <m:sub>
            <m:r>
              <m:t>2</m:t>
            </m:r>
          </m:sub>
        </m:sSub>
        <m:r>
          <m:t>(</m:t>
        </m:r>
        <m:r>
          <m:t>⋅</m:t>
        </m:r>
        <m:r>
          <m:t>)</m:t>
        </m:r>
      </m:oMath>
      <w:r>
        <w:t xml:space="preserve"> </w:t>
      </w:r>
      <w:r>
        <w:t xml:space="preserve">is the crossbasis function in which</w:t>
      </w:r>
      <w:r>
        <w:t xml:space="preserve"> </w:t>
      </w:r>
      <m:oMath>
        <m:sSub>
          <m:e>
            <m:r>
              <m:t>d</m:t>
            </m:r>
          </m:e>
          <m:sub>
            <m:r>
              <m:t>i</m:t>
            </m:r>
            <m:r>
              <m:t>,</m:t>
            </m:r>
            <m:r>
              <m:t>t</m:t>
            </m:r>
          </m:sub>
        </m:sSub>
      </m:oMath>
      <w:r>
        <w:t xml:space="preserve"> </w:t>
      </w:r>
      <w:r>
        <w:t xml:space="preserve">is the SPEI value during the census month of an observation (February) and</w:t>
      </w:r>
      <w:r>
        <w:t xml:space="preserve"> </w:t>
      </w:r>
      <m:oMath>
        <m:sSub>
          <m:e>
            <m:r>
              <m:t>d</m:t>
            </m:r>
          </m:e>
          <m:sub>
            <m:r>
              <m:t>i</m:t>
            </m:r>
            <m:r>
              <m:t>,</m:t>
            </m:r>
            <m:r>
              <m:t>t</m:t>
            </m:r>
            <m: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r>
          <m:t>(</m:t>
        </m:r>
        <m:r>
          <m:t>⋅</m:t>
        </m:r>
        <m:r>
          <m:t>)</m:t>
        </m:r>
      </m:oMath>
      <w:r>
        <w:t xml:space="preserve"> </w:t>
      </w:r>
      <w:r>
        <w:t xml:space="preserve">can also be written:</w:t>
      </w:r>
    </w:p>
    <w:p>
      <w:pPr>
        <w:pStyle w:val="BodyText"/>
      </w:pPr>
      <m:oMathPara>
        <m:oMathParaPr>
          <m:jc m:val="center"/>
        </m:oMathParaPr>
        <m:oMath>
          <m:sSub>
            <m:e>
              <m:r>
                <m:t>s</m:t>
              </m:r>
            </m:e>
            <m:sub>
              <m:r>
                <m:t>2</m:t>
              </m:r>
            </m:sub>
          </m:sSub>
          <m:r>
            <m:t>(</m:t>
          </m:r>
          <m:sSub>
            <m:e>
              <m:r>
                <m:t>d</m:t>
              </m:r>
            </m:e>
            <m:sub>
              <m:r>
                <m:t>i</m:t>
              </m:r>
              <m:r>
                <m:t>,</m:t>
              </m:r>
              <m:r>
                <m:t>t</m:t>
              </m:r>
            </m:sub>
          </m:sSub>
          <m:r>
            <m:t>,</m:t>
          </m:r>
          <m:r>
            <m:t>.</m:t>
          </m:r>
          <m:r>
            <m:t>.</m:t>
          </m:r>
          <m:r>
            <m:t>.</m:t>
          </m:r>
          <m:r>
            <m:t>,</m:t>
          </m:r>
          <m:sSub>
            <m:e>
              <m:r>
                <m:t>d</m:t>
              </m:r>
            </m:e>
            <m:sub>
              <m:r>
                <m:t>i</m:t>
              </m:r>
              <m:r>
                <m:t>,</m:t>
              </m:r>
              <m:r>
                <m:t>t</m:t>
              </m:r>
              <m:r>
                <m:t>−</m:t>
              </m:r>
              <m:r>
                <m:t>24</m:t>
              </m:r>
            </m:sub>
          </m:sSub>
          <m:r>
            <m:t>)</m:t>
          </m:r>
          <m:r>
            <m:t>=</m:t>
          </m:r>
          <m:nary>
            <m:naryPr>
              <m:chr m:val="∑"/>
              <m:limLoc m:val="undOvr"/>
              <m:subHide m:val="0"/>
              <m:supHide m:val="0"/>
            </m:naryPr>
            <m:sub>
              <m:r>
                <m:t>l</m:t>
              </m:r>
              <m:r>
                <m:t>=</m:t>
              </m:r>
              <m:sSub>
                <m:e>
                  <m:r>
                    <m:t>l</m:t>
                  </m:r>
                </m:e>
                <m:sub>
                  <m:r>
                    <m:t>0</m:t>
                  </m:r>
                </m:sub>
              </m:sSub>
            </m:sub>
            <m:sup>
              <m:r>
                <m:t>L</m:t>
              </m:r>
            </m:sup>
            <m:e>
              <m:r>
                <m:t>f</m:t>
              </m:r>
            </m:e>
          </m:nary>
          <m:r>
            <m:t>⋅</m:t>
          </m:r>
          <m:r>
            <m:t>w</m:t>
          </m:r>
          <m:r>
            <m:t>(</m:t>
          </m:r>
          <m:sSub>
            <m:e>
              <m:r>
                <m:t>d</m:t>
              </m:r>
            </m:e>
            <m:sub>
              <m:r>
                <m:t>i</m:t>
              </m:r>
              <m:r>
                <m:t>,</m:t>
              </m:r>
              <m:r>
                <m:t>t</m:t>
              </m:r>
              <m:r>
                <m:t>−</m:t>
              </m:r>
              <m:r>
                <m:t>l</m:t>
              </m:r>
            </m:sub>
          </m:sSub>
          <m:r>
            <m:t>,</m:t>
          </m:r>
          <m:r>
            <m:t>l</m:t>
          </m:r>
          <m:r>
            <m:t>)</m:t>
          </m:r>
        </m:oMath>
      </m:oMathPara>
    </w:p>
    <w:p>
      <w:pPr>
        <w:pStyle w:val="FirstParagraph"/>
      </w:pPr>
      <w:r>
        <w:t xml:space="preserve">where the crossbasis function,</w:t>
      </w:r>
      <w:r>
        <w:t xml:space="preserve"> </w:t>
      </w:r>
      <m:oMath>
        <m:r>
          <m:t>f</m:t>
        </m:r>
        <m:r>
          <m:t>⋅</m:t>
        </m:r>
        <m:r>
          <m:t>w</m:t>
        </m:r>
        <m:r>
          <m:t>(</m:t>
        </m:r>
        <m:r>
          <m:t>d</m:t>
        </m:r>
        <m:r>
          <m:t>,</m:t>
        </m:r>
        <m:r>
          <m:t>l</m:t>
        </m:r>
        <m:r>
          <m:t>)</m:t>
        </m:r>
      </m:oMath>
      <w:r>
        <w:t xml:space="preserve">, is composed of two marginal basis functions: the standard predictor-response function</w:t>
      </w:r>
      <w:r>
        <w:t xml:space="preserve"> </w:t>
      </w:r>
      <m:oMath>
        <m:r>
          <m:t>f</m:t>
        </m:r>
        <m:r>
          <m:t>(</m:t>
        </m:r>
        <m:r>
          <m:t>d</m:t>
        </m:r>
        <m:r>
          <m:t>)</m:t>
        </m:r>
      </m:oMath>
      <w:r>
        <w:t xml:space="preserve">, and the additional lag-response function</w:t>
      </w:r>
      <w:r>
        <w:t xml:space="preserve"> </w:t>
      </w:r>
      <m:oMath>
        <m:r>
          <m:t>w</m:t>
        </m:r>
        <m:r>
          <m:t>(</m:t>
        </m:r>
        <m:r>
          <m:t>l</m:t>
        </m:r>
        <m:r>
          <m:t>)</m:t>
        </m:r>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w:t>
      </w:r>
      <w:r>
        <w:t xml:space="preserve"> </w:t>
      </w:r>
      <w:r>
        <w:t xml:space="preserve">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w:t>
      </w:r>
      <w:r>
        <w:t xml:space="preserve"> </w:t>
      </w:r>
      <w:r>
        <w:t xml:space="preserve">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A random effect of plot ID on the intercept is represented by</w:t>
      </w:r>
      <w:r>
        <w:t xml:space="preserve"> </w:t>
      </w:r>
      <m:oMath>
        <m:sSub>
          <m:e>
            <m:r>
              <m:t>a</m:t>
            </m:r>
          </m:e>
          <m:sub>
            <m:r>
              <m:t>j</m:t>
            </m:r>
          </m:sub>
        </m:sSub>
      </m:oMath>
      <w:r>
        <w:t xml:space="preserve">, allowing for plot characteristics to influence average vital rates.</w:t>
      </w:r>
      <w:r>
        <w:t xml:space="preserve"> </w:t>
      </w:r>
      <w:r>
        <w:t xml:space="preserve">For plant growth the response was plant size (natural log of height</w:t>
      </w:r>
      <w:r>
        <w:t xml:space="preserve"> </w:t>
      </w:r>
      <m:oMath>
        <m:r>
          <m:t>×</m:t>
        </m:r>
      </m:oMath>
      <w:r>
        <w:t xml:space="preserve"> </w:t>
      </w:r>
      <w:r>
        <w:t xml:space="preserve">shoot number) in year t+1 modeled with a scaled t family error distribution.</w:t>
      </w:r>
      <w:r>
        <w:t xml:space="preserve"> </w:t>
      </w:r>
      <w:r>
        <w:t xml:space="preserve">A scaled t family was chosen because residuals were leptokurtic with a Gaussian error structure.</w:t>
      </w:r>
      <w:r>
        <w:t xml:space="preserve"> </w:t>
      </w:r>
      <w:r>
        <w:t xml:space="preserve">The data on number of infloresences was converted to binary (1 for ≥1 inflorescence, 0 for no inflorescences).</w:t>
      </w:r>
      <w:r>
        <w:t xml:space="preserve"> </w:t>
      </w:r>
      <w:r>
        <w:t xml:space="preserve">When survival and flowering were the response variables we used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Because the</w:t>
      </w:r>
      <w:r>
        <w:t xml:space="preserve"> </w:t>
      </w:r>
      <w:r>
        <w:rPr>
          <w:rStyle w:val="VerbatimChar"/>
        </w:rPr>
        <w:t xml:space="preserve">dlnm</w:t>
      </w:r>
      <w:r>
        <w:t xml:space="preserve"> </w:t>
      </w:r>
      <w:r>
        <w:t xml:space="preserve">package does not currently allow modeling of factor by smooth interactions, we fit separate models for plants in fragments and in continuous forest to allow the shape of the crossbasis function to differ between habitats.</w:t>
      </w:r>
    </w:p>
    <w:bookmarkEnd w:id="28"/>
    <w:bookmarkEnd w:id="29"/>
    <w:bookmarkStart w:id="41"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The meteorological drought occurrences indicated by SPEI mostly agree with drought events in the Amazon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(Zeng et al. 2008, Marengo et al. 2008)</w:t>
      </w:r>
      <w:r>
        <w:t xml:space="preserve">.</w:t>
      </w:r>
      <w:r>
        <w:t xml:space="preserve"> </w:t>
      </w:r>
      <w:r>
        <w:t xml:space="preserve">Our SPEI data show the 2005 dry season to be a moderate drought (-1 &gt; SPEI &gt; -1.5).</w:t>
      </w:r>
      <w:r>
        <w:t xml:space="preserve"> </w:t>
      </w:r>
    </w:p>
    <w:p>
      <w:pPr>
        <w:pStyle w:val="BodyText"/>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bookmarkStart w:id="34" w:name="survival"/>
    <w:p>
      <w:pPr>
        <w:pStyle w:val="Heading2"/>
      </w:pPr>
      <w:r>
        <w:t xml:space="preserve">Survival</w:t>
      </w:r>
    </w:p>
    <w:p>
      <w:pPr>
        <w:pStyle w:val="CaptionedFigure"/>
      </w:pPr>
      <w:r>
        <w:drawing>
          <wp:inline>
            <wp:extent cx="5334000" cy="85344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BodyText"/>
      </w:pPr>
      <w:r>
        <w:t xml:space="preserve">Overall survival rate across the entire dataset was the same (0.95) in both CF and 1-ha.</w:t>
      </w:r>
      <w:r>
        <w:t xml:space="preserve"> </w:t>
      </w:r>
      <w:r>
        <w:t xml:space="preserve">The proportion of surviving plants across both habitat types was lowest in 2004 (0.92) which coincided with a moderate drought in Jan 2004 / Feb 2005 and a severe drought in Jan–Mar of 2004 (Figure</w:t>
      </w:r>
      <w:r>
        <w:t xml:space="preserve"> </w:t>
      </w:r>
      <w:r>
        <w:t xml:space="preserve">2</w:t>
      </w:r>
      <w:r>
        <w:t xml:space="preserve">b,d).</w:t>
      </w:r>
      <w:r>
        <w:t xml:space="preserve"> </w:t>
      </w:r>
      <w:r>
        <w:t xml:space="preserve">The lowest survival for 1-ha fragment plots (0.93) was in the 2006 census corresponding to wetter than average conditions (SPEI &gt; 0.5), but with a moderate drought the preceding October.</w:t>
      </w:r>
    </w:p>
    <w:p>
      <w:pPr>
        <w:pStyle w:val="BodyText"/>
      </w:pPr>
      <w:r>
        <w:t xml:space="preserve">Log transformed plant size had a significant effect on survival in both continuous forest and 1-ha fragments (both p &lt; 0.001).</w:t>
      </w:r>
      <w:r>
        <w:t xml:space="preserve"> </w:t>
      </w:r>
      <w:r>
        <w:t xml:space="preserve">Survival probability of large plants approached 1 in both habitat types (Figure</w:t>
      </w:r>
      <w:r>
        <w:t xml:space="preserve"> </w:t>
      </w:r>
      <w:r>
        <w:t xml:space="preserve">3</w:t>
      </w:r>
      <w:r>
        <w:t xml:space="preserve">a).</w:t>
      </w:r>
      <w:r>
        <w:t xml:space="preserve"> </w:t>
      </w:r>
      <w:r>
        <w:t xml:space="preserve">Survival of the smallest plants was higher in 1-ha fragments, but the 95% confidence intervals for 1-ha fragments and continuous forest overlapped for all sizes.</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BodyText"/>
      </w:pPr>
      <w:r>
        <w:t xml:space="preserve">The random effect of plot was significant for continuous forest ( p &lt; 0.001), but not for 1-ha fragments (p = 0.257).</w:t>
      </w:r>
    </w:p>
    <w:bookmarkEnd w:id="34"/>
    <w:bookmarkStart w:id="37" w:name="growth"/>
    <w:p>
      <w:pPr>
        <w:pStyle w:val="Heading2"/>
      </w:pPr>
      <w:r>
        <w:t xml:space="preserve">Growth</w:t>
      </w:r>
    </w:p>
    <w:p>
      <w:pPr>
        <w:pStyle w:val="FirstParagraph"/>
      </w:pPr>
      <w:r>
        <w:t xml:space="preserve">Plants were on average larger in continuous forest compared to 1-ha fragments.</w:t>
      </w:r>
      <w:r>
        <w:t xml:space="preserve"> </w:t>
      </w:r>
      <w:r>
        <w:t xml:space="preserve">In continuous forest, plants had an average of 2.9 ± 1.8 shoots (mean ± standard deviation) and were on average 40.6 ± 26.5 cm tall with an average size (shoots</w:t>
      </w:r>
      <w:r>
        <w:t xml:space="preserve"> </w:t>
      </w:r>
      <m:oMath>
        <m:r>
          <m:t>×</m:t>
        </m:r>
      </m:oMath>
      <w:r>
        <w:t xml:space="preserve"> </w:t>
      </w:r>
      <w:r>
        <w:t xml:space="preserve">height) of 150 ± 175.</w:t>
      </w:r>
      <w:r>
        <w:t xml:space="preserve"> </w:t>
      </w:r>
      <w:r>
        <w:t xml:space="preserve">In 1-ha fragments, plants had 2.5 ± 1.5 shoots on average and a mean height of 36.2 ± 24.1 cm and a mean size of 112 ± 141.</w:t>
      </w:r>
      <w:r>
        <w:t xml:space="preserve"> </w:t>
      </w:r>
      <w:r>
        <w:t xml:space="preserve">The size difference between plants in continuous forest and 1-ha fragments was more dramatic early on in the timeseries with mean sizes becoming more similar over time (Figure</w:t>
      </w:r>
      <w:r>
        <w:t xml:space="preserve"> </w:t>
      </w:r>
      <w:r>
        <w:t xml:space="preserve">2</w:t>
      </w:r>
      <w:r>
        <w:t xml:space="preserve">a).</w:t>
      </w:r>
    </w:p>
    <w:p>
      <w:pPr>
        <w:pStyle w:val="BodyText"/>
      </w:pPr>
      <w:r>
        <w:t xml:space="preserve">Size in year t was a significant predictor of size in year t+1 (p &lt; 0.001).</w:t>
      </w:r>
      <w:r>
        <w:t xml:space="preserve"> </w:t>
      </w:r>
      <w:r>
        <w:t xml:space="preserve">The 95% confidence intervals for the effect of size in year t in fragments and continuous forest overlapped for most sizes, but was slightly higher in continuous forest for mid-sized plants (Figure</w:t>
      </w:r>
      <w:r>
        <w:t xml:space="preserve"> </w:t>
      </w:r>
      <w:r>
        <w:t xml:space="preserve">3</w:t>
      </w:r>
      <w:r>
        <w:t xml:space="preserve">b).</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6"/>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The random effect of plot is significant in both habitat models (p &lt; 0.001).</w:t>
      </w:r>
    </w:p>
    <w:bookmarkEnd w:id="37"/>
    <w:bookmarkStart w:id="40" w:name="flowering"/>
    <w:p>
      <w:pPr>
        <w:pStyle w:val="Heading2"/>
      </w:pPr>
      <w:r>
        <w:t xml:space="preserve">Flowering</w:t>
      </w:r>
    </w:p>
    <w:p>
      <w:pPr>
        <w:pStyle w:val="FirstParagraph"/>
      </w:pPr>
      <w:r>
        <w:t xml:space="preserve">There was a pronounced threshold in flowering probability corresponding with a log size of about 5 (Figure</w:t>
      </w:r>
      <w:r>
        <w:t xml:space="preserve"> </w:t>
      </w:r>
      <w:r>
        <w:t xml:space="preserve">??</w:t>
      </w:r>
      <w:r>
        <w:t xml:space="preserve">).</w:t>
      </w:r>
      <w:r>
        <w:t xml:space="preserve"> </w:t>
      </w:r>
      <w:r>
        <w:t xml:space="preserve">The mean proportion of flowering plants across all census years was generally higher in continuous forest (0.050 ± 0.021) compared to 1-ha fragments (0.036 ± 0.027).</w:t>
      </w:r>
      <w:r>
        <w:t xml:space="preserve"> </w:t>
      </w:r>
      <w:r>
        <w:t xml:space="preserve">In fact, the proportion of flowering plants was higher in continuous forest in all survey years except 2006 and 2008 (Figure</w:t>
      </w:r>
      <w:r>
        <w:t xml:space="preserve"> </w:t>
      </w:r>
      <w:r>
        <w:t xml:space="preserve">2</w:t>
      </w:r>
      <w:r>
        <w:t xml:space="preserve">c).</w:t>
      </w:r>
      <w:r>
        <w:t xml:space="preserve"> </w:t>
      </w:r>
      <w:r>
        <w:t xml:space="preserve">The most striking difference between habitat types in flowering proportion coincided with a severe drought in 2003 when the percentage of flowering plants with four or more shoots was 24.1% in continuous forest and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p>
      <w:pPr>
        <w:pStyle w:val="BodyText"/>
      </w:pPr>
      <w:r>
        <w:t xml:space="preserve">Plant size had a significant effect on flowering probability in both habitats (p &lt; 0.001).</w:t>
      </w:r>
      <w:r>
        <w:t xml:space="preserve"> </w:t>
      </w:r>
      <w:r>
        <w:t xml:space="preserve">Flowering probability increased rapidly with log-transformed plant size greater than 5 in both habitats (Figure</w:t>
      </w:r>
      <w:r>
        <w:t xml:space="preserve"> </w:t>
      </w:r>
      <w:r>
        <w:t xml:space="preserve">3</w:t>
      </w:r>
      <w:r>
        <w:t xml:space="preserve">c).</w:t>
      </w:r>
      <w:r>
        <w:t xml:space="preserve"> </w:t>
      </w:r>
      <w:r>
        <w:t xml:space="preserve">Flowering probability of large plants (log(size) &gt; 5) was greater in 1-ha fragments compared to continuous forest.</w:t>
      </w:r>
      <w:r>
        <w:t xml:space="preserve"> </w:t>
      </w:r>
      <w:r>
        <w:t xml:space="preserve">However, because mean plant size is larger in continuous forest (Figure</w:t>
      </w:r>
      <w:r>
        <w:t xml:space="preserve"> </w:t>
      </w:r>
      <w:r>
        <w:t xml:space="preserve">3</w:t>
      </w:r>
      <w:r>
        <w:t xml:space="preserve">d), overall flowering probability was greater.</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9"/>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The random effect of plot also had a significant effect in both habitats (p &lt; 0.001).</w:t>
      </w:r>
    </w:p>
    <w:bookmarkEnd w:id="40"/>
    <w:bookmarkEnd w:id="41"/>
    <w:bookmarkStart w:id="43" w:name="discussion"/>
    <w:p>
      <w:pPr>
        <w:pStyle w:val="Heading1"/>
      </w:pPr>
      <w:r>
        <w:t xml:space="preserve">Discussion</w:t>
      </w:r>
    </w:p>
    <w:bookmarkStart w:id="42" w:name="X3ced586af63fd3a24b83b445a95f1b49f10e000"/>
    <w:p>
      <w:pPr>
        <w:pStyle w:val="Heading4"/>
      </w:pPr>
      <w:r>
        <w:t xml:space="preserve">Citations / information to allocate to appropriate paragraphs</w:t>
      </w:r>
    </w:p>
    <w:p>
      <w:pPr>
        <w:numPr>
          <w:ilvl w:val="0"/>
          <w:numId w:val="1002"/>
        </w:numPr>
      </w:pPr>
      <w:r>
        <w:t xml:space="preserve">Criley and Lekawatana (1994)</w:t>
      </w:r>
      <w:r>
        <w:t xml:space="preserve"> </w:t>
      </w:r>
      <w:r>
        <w:t xml:space="preserve">: under hort conditions, shoots that flower in spring emerge in June/July the previous year.</w:t>
      </w:r>
      <w:r>
        <w:t xml:space="preserve"> </w:t>
      </w:r>
      <w:r>
        <w:t xml:space="preserve">~6 months after shoot emergence that the developing infloresence is susceptible to adverse effects.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Lots of great stuff about the importance of rhizomes, including for drought resistance, in</w:t>
      </w:r>
      <w:r>
        <w:t xml:space="preserve"> </w:t>
      </w:r>
      <w:r>
        <w:t xml:space="preserve">Klimešová et al. (2018)</w:t>
      </w:r>
      <w:r>
        <w:t xml:space="preserve">.</w:t>
      </w:r>
      <w:r>
        <w:t xml:space="preserve"> </w:t>
      </w:r>
      <w:r>
        <w:t xml:space="preserve">Rhizome resistance to variability in environmental conditions also a conclusion in this study on invasion by another zingiberales (</w:t>
      </w:r>
      <w:r>
        <w:t xml:space="preserve"> </w:t>
      </w:r>
      <w:r>
        <w:t xml:space="preserve">Pinheiro et al. (2021)</w:t>
      </w:r>
    </w:p>
    <w:p>
      <w:pPr>
        <w:numPr>
          <w:ilvl w:val="0"/>
          <w:numId w:val="1002"/>
        </w:numPr>
      </w:pPr>
      <w:r>
        <w:t xml:space="preserve">Westerband et al. (2017)</w:t>
      </w:r>
      <w:r>
        <w:t xml:space="preserve">:</w:t>
      </w:r>
      <w:r>
        <w:t xml:space="preserve"> </w:t>
      </w:r>
      <w:r>
        <w:rPr>
          <w:i/>
        </w:rPr>
        <w:t xml:space="preserve">Heliconia</w:t>
      </w:r>
      <w:r>
        <w:t xml:space="preserve"> </w:t>
      </w:r>
      <w:r>
        <w:t xml:space="preserve">grew more at low than high precipitation.</w:t>
      </w:r>
      <w:r>
        <w:t xml:space="preserve"> </w:t>
      </w:r>
      <w:r>
        <w:t xml:space="preserve">Leaf life span and biomass allocation did not differ among treatments.</w:t>
      </w:r>
      <w:r>
        <w:t xml:space="preserve"> </w:t>
      </w:r>
      <w:r>
        <w:t xml:space="preserve">The effect of environmental variability was dependent on early life conditions as well as precipitation, suggesting that generalist species may experience high fitness as forest environments become more variable by maintaining high growth at the expense of survival.</w:t>
      </w:r>
    </w:p>
    <w:p>
      <w:pPr>
        <w:numPr>
          <w:ilvl w:val="0"/>
          <w:numId w:val="1002"/>
        </w:numPr>
      </w:pPr>
      <w:r>
        <w:t xml:space="preserve">the observed effects on reproduction can have effects beyond demography, eg.</w:t>
      </w:r>
      <w:r>
        <w:t xml:space="preserve"> </w:t>
      </w:r>
      <w:r>
        <w:t xml:space="preserve">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2"/>
        </w:numPr>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Pr>
      <w:r>
        <w:t xml:space="preserve">Wright (1992)</w:t>
      </w:r>
      <w:r>
        <w:t xml:space="preserve">: seasonal drought.</w:t>
      </w:r>
      <w:r>
        <w:t xml:space="preserve"> </w:t>
      </w:r>
      <w:r>
        <w:t xml:space="preserve">experimental irrigation influences survival and growth of tropical herbs</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and Shiels (2020)</w:t>
      </w:r>
      <w:r>
        <w:t xml:space="preserve">)</w:t>
      </w:r>
    </w:p>
    <w:p>
      <w:pPr>
        <w:numPr>
          <w:ilvl w:val="0"/>
          <w:numId w:val="1002"/>
        </w:numPr>
      </w:pPr>
      <w:r>
        <w:t xml:space="preserve">Horvitz and Schemske (1988)</w:t>
      </w:r>
      <w:r>
        <w:t xml:space="preserve">: no evidence for short term (next season) cost of reproduction in another understory monocot (Calathea) BUT</w:t>
      </w:r>
    </w:p>
    <w:p>
      <w:pPr>
        <w:numPr>
          <w:ilvl w:val="0"/>
          <w:numId w:val="1002"/>
        </w:numPr>
      </w:pPr>
      <w:r>
        <w:t xml:space="preserve">Horvitz and Schemske (2002)</w:t>
      </w:r>
      <w:r>
        <w:t xml:space="preserve"> </w:t>
      </w:r>
      <w:r>
        <w:t xml:space="preserve">(</w:t>
      </w:r>
      <w:r>
        <w:rPr>
          <w:i/>
        </w:rPr>
        <w:t xml:space="preserve">Calathea ovandensis</w:t>
      </w:r>
      <w:r>
        <w:t xml:space="preserve">) Survival of juveniles was positively affected by plant size, but not by herbivory, local competition, or fruit production.</w:t>
      </w:r>
      <w:r>
        <w:t xml:space="preserve"> </w:t>
      </w:r>
      <w:r>
        <w:t xml:space="preserve">Survival of large stages was not generally affected by any of the factors.</w:t>
      </w:r>
      <w:r>
        <w:t xml:space="preserve"> </w:t>
      </w:r>
      <w:r>
        <w:t xml:space="preserve">Relative growth rates of all stages were negatively affected by plant size; larger plants grew more slowly than smaller plants.</w:t>
      </w:r>
      <w:r>
        <w:t xml:space="preserve"> </w:t>
      </w:r>
      <w:r>
        <w:t xml:space="preserve">Additionally, growth rate of juveniles was negatively affected by local competition, whereas growth rate of reproductives was positively affected by reproduction.</w:t>
      </w:r>
      <w:r>
        <w:t xml:space="preserve"> </w:t>
      </w:r>
      <w:r>
        <w:t xml:space="preserve">Next year’s inflorescence production was positively affected by plant size for both pre-reproductive and reproductive stages.</w:t>
      </w:r>
      <w:r>
        <w:t xml:space="preserve"> </w:t>
      </w:r>
      <w:r>
        <w:t xml:space="preserve">For reproductives, it was additionally positively affected by current fruit production.</w:t>
      </w:r>
    </w:p>
    <w:p>
      <w:pPr>
        <w:numPr>
          <w:ilvl w:val="0"/>
          <w:numId w:val="1002"/>
        </w:numPr>
      </w:pPr>
      <w:r>
        <w:t xml:space="preserve">Rundel et al. (1998)</w:t>
      </w:r>
      <w:r>
        <w:t xml:space="preserve"> </w:t>
      </w:r>
      <w:r>
        <w:t xml:space="preserve">Heliconia appear to allocate much of their above-ground biomass to leaf tissues and have a relatively low investment in support tissues.</w:t>
      </w:r>
      <w:r>
        <w:t xml:space="preserve"> </w:t>
      </w:r>
      <w:r>
        <w:t xml:space="preserve">Investment in leaf form vs structure interpreted as a trade-off between economy and protection against tissue loss from falling branches; presence of below-ground rhizomes in Heliconia may be key.</w:t>
      </w:r>
      <w:r>
        <w:t xml:space="preserve"> </w:t>
      </w:r>
      <w:r>
        <w:t xml:space="preserve">See also</w:t>
      </w:r>
      <w:r>
        <w:t xml:space="preserve"> </w:t>
      </w:r>
      <w:r>
        <w:t xml:space="preserve">Rundel et al. (2020)</w:t>
      </w:r>
      <w:r>
        <w:br/>
      </w:r>
    </w:p>
    <w:p>
      <w:pPr>
        <w:numPr>
          <w:ilvl w:val="0"/>
          <w:numId w:val="1002"/>
        </w:numPr>
      </w:pPr>
      <w:r>
        <w:t xml:space="preserve">Stiles (1975)</w:t>
      </w:r>
      <w:r>
        <w:t xml:space="preserve">?:</w:t>
      </w:r>
      <w:r>
        <w:t xml:space="preserve"> </w:t>
      </w:r>
      <w:r>
        <w:t xml:space="preserve">drought resulted in less flowering in Heliconia</w:t>
      </w:r>
    </w:p>
    <w:p>
      <w:pPr>
        <w:numPr>
          <w:ilvl w:val="0"/>
          <w:numId w:val="1002"/>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Many humid tropical forest species time reproduction to coincide with dry season peak to avoid low irradiance in wet season.</w:t>
      </w:r>
      <w:r>
        <w:t xml:space="preserve"> </w:t>
      </w:r>
      <w:r>
        <w:t xml:space="preserve">(refs within</w:t>
      </w:r>
      <w:r>
        <w:t xml:space="preserve"> </w:t>
      </w:r>
      <w:r>
        <w:t xml:space="preserve">Wright and Calderon (2006)</w:t>
      </w:r>
      <w:r>
        <w:t xml:space="preserve">. van Shaik et al. 1993; Wright and vanSchaik 1994).</w:t>
      </w:r>
      <w:r>
        <w:t xml:space="preserve"> </w:t>
      </w:r>
      <w:r>
        <w:t xml:space="preserve">But</w:t>
      </w:r>
      <w:r>
        <w:t xml:space="preserve"> </w:t>
      </w:r>
      <w:r>
        <w:rPr>
          <w:i/>
        </w:rPr>
        <w:t xml:space="preserve">Heliconia</w:t>
      </w:r>
      <w:r>
        <w:t xml:space="preserve"> </w:t>
      </w:r>
      <w:r>
        <w:t xml:space="preserve">times reproduction so seeds only germinate at start of rainy season.</w:t>
      </w:r>
    </w:p>
    <w:p>
      <w:pPr>
        <w:numPr>
          <w:ilvl w:val="0"/>
          <w:numId w:val="1002"/>
        </w:numPr>
      </w:pPr>
      <w:r>
        <w:t xml:space="preserve">cite Esteban et al. 2021 for negative effects of large positive SPEI</w:t>
      </w:r>
      <w:r>
        <w:br/>
      </w:r>
    </w:p>
    <w:p>
      <w:pPr>
        <w:pStyle w:val="FirstParagraph"/>
      </w:pPr>
      <w:r>
        <w:t xml:space="preserve">Understanding how landscape structure and environmental conditions act to influence population dynamics is fundamental to many of the emerging conceptual frameworks for studying and conserving fragmented landscapes</w:t>
      </w:r>
      <w:r>
        <w:t xml:space="preserve"> </w:t>
      </w:r>
      <w:r>
        <w:t xml:space="preserve">(Didham et al. 2012, Driscoll et al. 2013)</w:t>
      </w:r>
      <w:r>
        <w:t xml:space="preserve">.</w:t>
      </w:r>
      <w:r>
        <w:t xml:space="preserve"> </w:t>
      </w:r>
    </w:p>
    <w:p>
      <w:pPr>
        <w:pStyle w:val="BodyText"/>
      </w:pPr>
      <w:r>
        <w:t xml:space="preserve">This study adds to the growing body of work that finds delayed effects of climate drivers on vital rates without</w:t>
      </w:r>
      <w:r>
        <w:t xml:space="preserve"> </w:t>
      </w:r>
      <w:r>
        <w:rPr>
          <w:i/>
        </w:rPr>
        <w:t xml:space="preserve">a priori</w:t>
      </w:r>
      <w:r>
        <w:t xml:space="preserve"> </w:t>
      </w:r>
      <w:r>
        <w:t xml:space="preserve">assumptions about the influence of particular climate windows</w:t>
      </w:r>
      <w:r>
        <w:t xml:space="preserve"> </w:t>
      </w:r>
      <w:r>
        <w:t xml:space="preserve">(Teller et al. 2016, Tenhumberg et al. 2018, Evers et al. 2021)</w:t>
      </w:r>
      <w:r>
        <w:t xml:space="preserve">.</w:t>
      </w:r>
      <w:r>
        <w:t xml:space="preserve"> </w:t>
      </w:r>
      <w:r>
        <w:t xml:space="preserve">We found evidence for delayed effects of drought which are sometimes stronger predictors of vital rates than more recent conditions.</w:t>
      </w:r>
      <w:r>
        <w:t xml:space="preserve"> </w:t>
      </w:r>
      <w:r>
        <w:t xml:space="preserve">The approach we took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yet few demographic studies have the data required for modeling lagged effects</w:t>
      </w:r>
      <w:r>
        <w:t xml:space="preserve"> </w:t>
      </w:r>
      <w:r>
        <w:t xml:space="preserve">(Crone et al. 2011, Teller et al. 2016)</w:t>
      </w:r>
      <w:r>
        <w:t xml:space="preserve">.</w:t>
      </w:r>
      <w:r>
        <w:t xml:space="preserve"> </w:t>
      </w:r>
      <w:r>
        <w:t xml:space="preserve">This demonstrates the importance of long term demographic experiments in determining the effects of changing habitats on populations.</w:t>
      </w:r>
      <w:r>
        <w:t xml:space="preserve"> </w:t>
      </w:r>
    </w:p>
    <w:p>
      <w:pPr>
        <w:pStyle w:val="BodyText"/>
      </w:pPr>
      <w:r>
        <w:rPr>
          <w:i/>
        </w:rPr>
        <w:t xml:space="preserve">Heliconia acuminata</w:t>
      </w:r>
      <w:r>
        <w:t xml:space="preserve"> </w:t>
      </w:r>
      <w:r>
        <w:t xml:space="preserve">individuals were smaller in forest fragments, although they grew slightly faster than plants in continuous forest, closing the size gap over the decade of demographic data.</w:t>
      </w:r>
      <w:r>
        <w:t xml:space="preserve"> </w:t>
      </w:r>
      <w:r>
        <w:t xml:space="preserve">Size regression became more likely as plants increased in size, which is typical of long-lived forest understory plants</w:t>
      </w:r>
      <w:r>
        <w:t xml:space="preserve"> </w:t>
      </w:r>
      <w:r>
        <w:t xml:space="preserve">.</w:t>
      </w:r>
      <w:r>
        <w:t xml:space="preserve"> </w:t>
      </w:r>
      <w:r>
        <w:t xml:space="preserve">Our results confirm those of Bruna and Kress</w:t>
      </w:r>
      <w:r>
        <w:t xml:space="preserve"> </w:t>
      </w:r>
      <w:r>
        <w:t xml:space="preserve">(2002)</w:t>
      </w:r>
      <w:r>
        <w:t xml:space="preserve">, showing that probability of flowering increases with plant size and plant growth decreases with plant size</w:t>
      </w:r>
      <w:r>
        <w:t xml:space="preserve"> </w:t>
      </w:r>
      <w:r>
        <w:t xml:space="preserve">.</w:t>
      </w:r>
      <w:r>
        <w:t xml:space="preserve"> </w:t>
      </w:r>
      <w:r>
        <w:t xml:space="preserve">Flowering probability for the largest plants is actually higher in forest fragments; however, because there are fewer large plants in fragments overall flowering probability is much lower.</w:t>
      </w:r>
      <w:r>
        <w:t xml:space="preserve"> </w:t>
      </w:r>
      <w:r>
        <w:t xml:space="preserve">The average fitted probability of flowering for plants in the upper quartile for size is 0.125 in continuous forest and 0.094 in forest fragments, equivalent to flowering once every 7.97 years and 10.63 years, respectively.</w:t>
      </w:r>
      <w:r>
        <w:t xml:space="preserve"> </w:t>
      </w:r>
      <w:r>
        <w:t xml:space="preserve">Seemingly small differences in vital rates such as these can be extremely important as they compound over many years, especially in long-lived organisms</w:t>
      </w:r>
      <w:r>
        <w:t xml:space="preserve">(Gagnon et al. 2011)</w:t>
      </w:r>
      <w:r>
        <w:t xml:space="preserve">.</w:t>
      </w:r>
    </w:p>
    <w:p>
      <w:pPr>
        <w:pStyle w:val="BodyText"/>
      </w:pPr>
      <w:r>
        <w:t xml:space="preserve">We found that the effects of variation in SPEI differed between forest fragments and continuous forest habitat.</w:t>
      </w:r>
      <w:r>
        <w:t xml:space="preserve"> </w:t>
      </w:r>
      <w:r>
        <w:t xml:space="preserve">At mean SPEI, overall survival of plants was similar in fragments and continuous forest, but extremes in SPEI, both positive (wet) and negative (dry) had much greater detrimental effects on survival in habitat fragments.</w:t>
      </w:r>
      <w:r>
        <w:t xml:space="preserve"> </w:t>
      </w:r>
      <w:r>
        <w:t xml:space="preserve">Similarly variation in SPEI had a greater impact on plant size in fragments compared to continuous forest with a general trend of unusually wet wet seasons and unusually dry dry seasons having a greater negative impact in fragments.</w:t>
      </w:r>
      <w:r>
        <w:t xml:space="preserve"> </w:t>
      </w:r>
      <w:r>
        <w:t xml:space="preserve">Flowering probability showed a different pattern with a greater effect of variation in SPEI in continuous forests.</w:t>
      </w:r>
      <w:r>
        <w:t xml:space="preserve"> </w:t>
      </w:r>
      <w:r>
        <w:t xml:space="preserve">However, with few plants large enough to flower, it is likely we simply did not detect the full effects of variation in SPEI on flowering probability in forest fragments with our models.</w:t>
      </w:r>
      <w:r>
        <w:t xml:space="preserve"> </w:t>
      </w:r>
      <w:r>
        <w:t xml:space="preserve">Both variation in precipitation and extreme conditions are predicted to increase as climate change progresses (</w:t>
      </w:r>
      <w:r>
        <w:t xml:space="preserve"> </w:t>
      </w:r>
      <w:r>
        <w:t xml:space="preserve">) and our results demonstrate that this may have a greater negative impact on understory plants in forest fragments compared to continuous forests.</w:t>
      </w:r>
    </w:p>
    <w:p>
      <w:pPr>
        <w:pStyle w:val="BodyText"/>
      </w:pPr>
      <w:r>
        <w:t xml:space="preserve">Reduced microclimate buffering could possibly explain the greater effects of variation in SPEI in fragments compared to continuous forest.</w:t>
      </w:r>
      <w:r>
        <w:t xml:space="preserve"> </w:t>
      </w:r>
      <w:r>
        <w:t xml:space="preserve">A major consequence of forest fragmentation is reported alteration in microclimate near forest edges</w:t>
      </w:r>
      <w:r>
        <w:t xml:space="preserve"> </w:t>
      </w:r>
      <w:r>
        <w:t xml:space="preserve">(Didham and Lawton 1999, Ewers and Banks-Leite 2013)</w:t>
      </w:r>
      <w:r>
        <w:t xml:space="preserve">.</w:t>
      </w:r>
      <w:r>
        <w:t xml:space="preserve"> </w:t>
      </w:r>
      <w:r>
        <w:t xml:space="preserve">It is possible that increases in temperature, evaporative drying, wind speed, and solar radiation commonly found near forest edges exacerbated the effects of extremes in SPEI on</w:t>
      </w:r>
      <w:r>
        <w:t xml:space="preserve"> </w:t>
      </w:r>
      <w:r>
        <w:rPr>
          <w:i/>
        </w:rPr>
        <w:t xml:space="preserve">H. acuminata</w:t>
      </w:r>
      <w:r>
        <w:t xml:space="preserve"> </w:t>
      </w:r>
      <w:r>
        <w:t xml:space="preserve">growth and survival in fragments compared to continuous forest.</w:t>
      </w:r>
      <w:r>
        <w:t xml:space="preserve"> </w:t>
      </w:r>
      <w:r>
        <w:t xml:space="preserve">It is also possible that the microclimate experienced by plants in continuous forest plots was simply more stable compared to that of 1 ha fragments.</w:t>
      </w:r>
      <w:r>
        <w:t xml:space="preserve"> </w:t>
      </w:r>
      <w:r>
        <w:t xml:space="preserve">Bruna et al.</w:t>
      </w:r>
      <w:r>
        <w:t xml:space="preserve"> </w:t>
      </w:r>
      <w:r>
        <w:t xml:space="preserve">(2002)</w:t>
      </w:r>
      <w:r>
        <w:t xml:space="preserve"> </w:t>
      </w:r>
      <w:r>
        <w:t xml:space="preserve">found that the growth of transplanted</w:t>
      </w:r>
      <w:r>
        <w:t xml:space="preserve"> </w:t>
      </w:r>
      <w:r>
        <w:rPr>
          <w:i/>
        </w:rPr>
        <w:t xml:space="preserve">H. accuminata</w:t>
      </w:r>
      <w:r>
        <w:t xml:space="preserve"> </w:t>
      </w:r>
      <w:r>
        <w:t xml:space="preserve">plants transplanted near edges was reduced relative to continuous forest.</w:t>
      </w:r>
      <w:r>
        <w:t xml:space="preserve"> </w:t>
      </w:r>
      <w:r>
        <w:t xml:space="preserve">A greater understanding of the microclimatic changes in fragments during extreme climate events and their effects on understory plants is needed, but we believe differences in microclimate buffering are a likely explanation for the observed differences between fragments and continuous forest.</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p>
      <w:pPr>
        <w:pStyle w:val="BodyText"/>
      </w:pPr>
      <w:r>
        <w:t xml:space="preserve">There are several possible non-mutually-exclusive explanations for delayed effects of SPEI on vital rates.</w:t>
      </w:r>
      <w:r>
        <w:t xml:space="preserve"> </w:t>
      </w:r>
      <w:r>
        <w:t xml:space="preserve">First, delayed effects may represent a demographic delay since we do not know precisely when since the previous survey the plant died or changed size.</w:t>
      </w:r>
      <w:r>
        <w:t xml:space="preserve"> </w:t>
      </w:r>
      <w:r>
        <w:t xml:space="preserve">For example, if extreme drought in the dry season before the census increases plant mortality in that season, this would show up as a delayed effect in our models (e.g. in Figure</w:t>
      </w:r>
      <w:r>
        <w:t xml:space="preserve"> </w:t>
      </w:r>
      <w:r>
        <w:t xml:space="preserve">4</w:t>
      </w:r>
      <w:r>
        <w:t xml:space="preserve">b) despite the impact of drought potentially being immediate.</w:t>
      </w:r>
      <w:r>
        <w:t xml:space="preserve"> </w:t>
      </w:r>
      <w:r>
        <w:t xml:space="preserve">This explanation for delayed effects applies only to plant size and survival, as flowering occurs very close to the yearly demographic census (Jan–Apr).</w:t>
      </w:r>
    </w:p>
    <w:p>
      <w:pPr>
        <w:pStyle w:val="BodyText"/>
      </w:pPr>
      <w:r>
        <w:t xml:space="preserve">Second, these delayed effects may represent a physiological delayed effect of environmental conditions.</w:t>
      </w:r>
      <w:r>
        <w:t xml:space="preserve"> </w:t>
      </w:r>
      <w:r>
        <w:t xml:space="preserve">Under horticultural conditions, flowering shoots of</w:t>
      </w:r>
      <w:r>
        <w:t xml:space="preserve"> </w:t>
      </w:r>
      <w:r>
        <w:rPr>
          <w:i/>
        </w:rPr>
        <w:t xml:space="preserve">Heliconia chartacea</w:t>
      </w:r>
      <w:r>
        <w:t xml:space="preserve"> </w:t>
      </w:r>
      <w:r>
        <w:t xml:space="preserve">that flower in Spring begin to emerge in June or July of the previous year, and the developing inflorescence may be aborted in response to adverse conditions up to 6 months after initiation</w:t>
      </w:r>
      <w:r>
        <w:t xml:space="preserve"> </w:t>
      </w:r>
      <w:r>
        <w:t xml:space="preserve">(Criley and Lekawatana 1994)</w:t>
      </w:r>
      <w:r>
        <w:t xml:space="preserve">.</w:t>
      </w:r>
      <w:r>
        <w:t xml:space="preserve"> </w:t>
      </w:r>
      <w:r>
        <w:t xml:space="preserve">Although flowering occurs in late January through April in</w:t>
      </w:r>
      <w:r>
        <w:t xml:space="preserve"> </w:t>
      </w:r>
      <w:r>
        <w:rPr>
          <w:i/>
        </w:rPr>
        <w:t xml:space="preserve">H. acuminata</w:t>
      </w:r>
      <w:r>
        <w:t xml:space="preserve">, the initiation of a primordial flowering shoot</w:t>
      </w:r>
      <w:r>
        <w:t xml:space="preserve"> </w:t>
      </w:r>
      <w:r>
        <w:t xml:space="preserve"> </w:t>
      </w:r>
      <w:r>
        <w:t xml:space="preserve">likely happens many months earlier.</w:t>
      </w:r>
      <w:r>
        <w:t xml:space="preserve"> </w:t>
      </w:r>
      <w:r>
        <w:t xml:space="preserve">The increase in flowering rate of plants following a drought could also be a bet-hedging strategy in response to stress</w:t>
      </w:r>
      <w:r>
        <w:t xml:space="preserve"> </w:t>
      </w:r>
      <w:r>
        <w:t xml:space="preserve">(Nihad et al. 2018)</w:t>
      </w:r>
      <w:r>
        <w:t xml:space="preserve"> </w:t>
      </w:r>
      <w:r>
        <w:t xml:space="preserve">.</w:t>
      </w:r>
      <w:r>
        <w:t xml:space="preserve"> </w:t>
      </w:r>
      <w:r>
        <w:t xml:space="preserve">We also considered that some delayed effects could be a result of a cost of reproduction leading to reduced growth, survival, and/or flowering probability in the following season.</w:t>
      </w:r>
      <w:r>
        <w:t xml:space="preserve"> </w:t>
      </w:r>
      <w:r>
        <w:t xml:space="preserve">However, when flowering in the previous season is included as a covariate, it predicts higher growth and flowering probability—likely a reflection of size being a good predictor of these vital rates (Supplemental___).</w:t>
      </w:r>
      <w:r>
        <w:t xml:space="preserve"> </w:t>
      </w:r>
      <w:r>
        <w:t xml:space="preserve">Our models show that drought two dry seasons prior to the census increase flowering probability.</w:t>
      </w:r>
      <w:r>
        <w:t xml:space="preserve"> </w:t>
      </w:r>
      <w:r>
        <w:t xml:space="preserve">A greater understanding of the effects of light, drought, season, and their interactions on flowering in</w:t>
      </w:r>
      <w:r>
        <w:t xml:space="preserve"> </w:t>
      </w:r>
      <w:r>
        <w:rPr>
          <w:i/>
        </w:rPr>
        <w:t xml:space="preserve">H. acuminata</w:t>
      </w:r>
      <w:r>
        <w:t xml:space="preserve"> </w:t>
      </w:r>
      <w:r>
        <w:t xml:space="preserve">is needed to provide a probable mechanism for this pattern.</w:t>
      </w:r>
    </w:p>
    <w:p>
      <w:pPr>
        <w:pStyle w:val="BodyText"/>
      </w:pPr>
      <w:r>
        <w:t xml:space="preserve">Finally, delayed effects could be mediated by indirect effects and ecological interactions.</w:t>
      </w:r>
      <w:r>
        <w:t xml:space="preserve"> </w:t>
      </w:r>
      <w:r>
        <w:t xml:space="preserve">Drought in tropical forests can increase tree mortality and leaf drop, resulting in decreased canopy cover and increased light penetration (</w:t>
      </w:r>
      <w:r>
        <w:t xml:space="preserve">).</w:t>
      </w:r>
      <w:r>
        <w:t xml:space="preserve"> </w:t>
      </w: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r>
        <w:t xml:space="preserve"> </w:t>
      </w:r>
      <w:r>
        <w:t xml:space="preserve">This increase in light could then result in increased growth or flowering for understory plants (</w:t>
      </w:r>
      <w:r>
        <w:t xml:space="preserve"> </w:t>
      </w:r>
      <w:r>
        <w:t xml:space="preserve">).</w:t>
      </w:r>
      <w:r>
        <w:t xml:space="preserve"> </w:t>
      </w:r>
      <w:r>
        <w:t xml:space="preserve">Here, the delayed effect could be a combined delay of the response of canopy trees to drought and the response of</w:t>
      </w:r>
      <w:r>
        <w:t xml:space="preserve"> </w:t>
      </w:r>
      <w:r>
        <w:rPr>
          <w:i/>
        </w:rPr>
        <w:t xml:space="preserve">H. acuminata</w:t>
      </w:r>
      <w:r>
        <w:t xml:space="preserve"> </w:t>
      </w:r>
      <w:r>
        <w:t xml:space="preserve">to increased insolation.</w:t>
      </w:r>
    </w:p>
    <w:p>
      <w:pPr>
        <w:numPr>
          <w:ilvl w:val="0"/>
          <w:numId w:val="1004"/>
        </w:numPr>
        <w:pStyle w:val="Compact"/>
      </w:pPr>
      <w:r>
        <w:t xml:space="preserve">Ecological Consequences of these patterns: an eye towards a drier/wetter future</w:t>
      </w:r>
    </w:p>
    <w:bookmarkEnd w:id="42"/>
    <w:bookmarkEnd w:id="43"/>
    <w:bookmarkStart w:id="44" w:name="conclusions-future-directions"/>
    <w:p>
      <w:pPr>
        <w:pStyle w:val="Heading1"/>
      </w:pPr>
      <w:r>
        <w:t xml:space="preserve">Conclusions &amp; Future Directions</w:t>
      </w:r>
    </w:p>
    <w:p>
      <w:pPr>
        <w:numPr>
          <w:ilvl w:val="0"/>
          <w:numId w:val="1005"/>
        </w:numPr>
      </w:pPr>
      <w:r>
        <w:t xml:space="preserve">There could be size-specific effects: Fragmentation affects plant size (in</w:t>
      </w:r>
      <w:r>
        <w:t xml:space="preserve"> </w:t>
      </w:r>
      <w:r>
        <w:rPr>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r>
        <w:t xml:space="preserve"> </w:t>
      </w:r>
      <w:r>
        <w:t xml:space="preserve">The</w:t>
      </w:r>
      <w:r>
        <w:t xml:space="preserve"> </w:t>
      </w:r>
      <w:r>
        <w:rPr>
          <w:rStyle w:val="VerbatimChar"/>
        </w:rPr>
        <w:t xml:space="preserve">dlnm</w:t>
      </w:r>
      <w:r>
        <w:t xml:space="preserve"> </w:t>
      </w:r>
      <w:r>
        <w:t xml:space="preserve">package does not currently allow for modeling of interactions, and we lacked data on plant size at the same time scale as SPEI (monthly), so interactions with size were not included in this analysis.</w:t>
      </w:r>
    </w:p>
    <w:p>
      <w:pPr>
        <w:numPr>
          <w:ilvl w:val="0"/>
          <w:numId w:val="1005"/>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numPr>
          <w:ilvl w:val="0"/>
          <w:numId w:val="1005"/>
        </w:numPr>
      </w:pPr>
      <w:r>
        <w:t xml:space="preserve">Very few demographic studies have the data required to fit models that include delayed effects.</w:t>
      </w:r>
    </w:p>
    <w:p>
      <w:pPr>
        <w:numPr>
          <w:ilvl w:val="0"/>
          <w:numId w:val="1005"/>
        </w:numPr>
      </w:pPr>
      <w:r>
        <w:t xml:space="preserve">Looop back to: need whole-life-cycle approach to ID these effects, why fragmentologists don’t do this is killing Emilio.</w:t>
      </w:r>
    </w:p>
    <w:bookmarkEnd w:id="44"/>
    <w:bookmarkStart w:id="45"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5"/>
    <w:bookmarkStart w:id="135" w:name="references"/>
    <w:p>
      <w:pPr>
        <w:pStyle w:val="Heading1"/>
      </w:pPr>
      <w:r>
        <w:t xml:space="preserve">References</w:t>
      </w:r>
    </w:p>
    <w:bookmarkStart w:id="133" w:name="refs"/>
    <w:bookmarkStart w:id="46"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6"/>
    <w:bookmarkStart w:id="47"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7"/>
    <w:bookmarkStart w:id="48" w:name="ref-barton2020"/>
    <w:p>
      <w:pPr>
        <w:pStyle w:val="Bibliography"/>
      </w:pPr>
      <w:r>
        <w:t xml:space="preserve">Barton, K. E., and A. B. Shiels. 2020. Additive and non-additive responses of seedlings to simulated herbivory and drought. Biotropica 52:1217–1228.</w:t>
      </w:r>
    </w:p>
    <w:bookmarkEnd w:id="48"/>
    <w:bookmarkStart w:id="49" w:name="X4f292b35ec6e53ec09c49b3d551dc718e6b780b"/>
    <w:p>
      <w:pPr>
        <w:pStyle w:val="Bibliography"/>
      </w:pPr>
      <w:r>
        <w:t xml:space="preserve">Beguería, S. 2017a. Sbegueria/SPEIbase: Version 2.5.1. Zenodo.</w:t>
      </w:r>
    </w:p>
    <w:bookmarkEnd w:id="49"/>
    <w:bookmarkStart w:id="50" w:name="ref-begueriaSbegueriaSPEIbaseVersion2017"/>
    <w:p>
      <w:pPr>
        <w:pStyle w:val="Bibliography"/>
      </w:pPr>
      <w:r>
        <w:t xml:space="preserve">Beguería, S. 2017b, July. Sbegueria/</w:t>
      </w:r>
      <w:r>
        <w:t xml:space="preserve">SPEIbase</w:t>
      </w:r>
      <w:r>
        <w:t xml:space="preserve">:</w:t>
      </w:r>
      <w:r>
        <w:t xml:space="preserve"> </w:t>
      </w:r>
      <w:r>
        <w:t xml:space="preserve">Version</w:t>
      </w:r>
      <w:r>
        <w:t xml:space="preserve"> </w:t>
      </w:r>
      <w:r>
        <w:t xml:space="preserve">2.5.1. Zenodo.</w:t>
      </w:r>
    </w:p>
    <w:bookmarkEnd w:id="50"/>
    <w:bookmarkStart w:id="51" w:name="X342970152a43d986528d8f706002c6994202cb8"/>
    <w:p>
      <w:pPr>
        <w:pStyle w:val="Bibliography"/>
      </w:pPr>
      <w:r>
        <w:t xml:space="preserve">Berry, F., and W. J. Kress. 1991. Heliconia: An identification guide.</w:t>
      </w:r>
      <w:r>
        <w:t xml:space="preserve"> </w:t>
      </w:r>
      <w:r>
        <w:t xml:space="preserve">Smithsonian Institution Press</w:t>
      </w:r>
      <w:r>
        <w:t xml:space="preserve">,</w:t>
      </w:r>
      <w:r>
        <w:t xml:space="preserve"> </w:t>
      </w:r>
      <w:r>
        <w:t xml:space="preserve">Washington D.C., USA</w:t>
      </w:r>
      <w:r>
        <w:t xml:space="preserve">.</w:t>
      </w:r>
    </w:p>
    <w:bookmarkEnd w:id="51"/>
    <w:bookmarkStart w:id="52"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2"/>
    <w:bookmarkStart w:id="53" w:name="X68f194f0c08fc4a36fc4b0cc84aaa970db2ece2"/>
    <w:p>
      <w:pPr>
        <w:pStyle w:val="Bibliography"/>
      </w:pPr>
      <w:r>
        <w:t xml:space="preserve">Bierregaard, R. O., C. Gascon, T. E. Lovejoy, and R. Mesquita, editors. 2001. Lessons from</w:t>
      </w:r>
      <w:r>
        <w:t xml:space="preserve"> </w:t>
      </w:r>
      <w:r>
        <w:t xml:space="preserve">Amazonia</w:t>
      </w:r>
      <w:r>
        <w:t xml:space="preserve">: The ecology and conservation of a fragmented forest.</w:t>
      </w:r>
      <w:r>
        <w:t xml:space="preserve"> </w:t>
      </w:r>
      <w:r>
        <w:t xml:space="preserve">Yale University Press</w:t>
      </w:r>
      <w:r>
        <w:t xml:space="preserve">,</w:t>
      </w:r>
      <w:r>
        <w:t xml:space="preserve"> </w:t>
      </w:r>
      <w:r>
        <w:t xml:space="preserve">New Haven</w:t>
      </w:r>
      <w:r>
        <w:t xml:space="preserve">.</w:t>
      </w:r>
    </w:p>
    <w:bookmarkEnd w:id="53"/>
    <w:bookmarkStart w:id="54" w:name="ref-bonal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4"/>
    <w:bookmarkStart w:id="55"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5"/>
    <w:bookmarkStart w:id="56" w:name="ref-brodieClimateChangeTropical2012"/>
    <w:p>
      <w:pPr>
        <w:pStyle w:val="Bibliography"/>
      </w:pPr>
      <w:r>
        <w:t xml:space="preserve">Brodie, J., E. Post, and W. F. Laurance. 2012. Climate change and tropical biodiversity: A new focus. Trends in Ecology &amp; Evolution 27:145–150.</w:t>
      </w:r>
    </w:p>
    <w:bookmarkEnd w:id="56"/>
    <w:bookmarkStart w:id="57" w:name="ref-brunaSeedGerminationRainforest1999"/>
    <w:p>
      <w:pPr>
        <w:pStyle w:val="Bibliography"/>
      </w:pPr>
      <w:r>
        <w:t xml:space="preserve">Bruna, E. M. 1999. Seed germination in rainforest fragments. Nature 402:139.</w:t>
      </w:r>
    </w:p>
    <w:bookmarkEnd w:id="57"/>
    <w:bookmarkStart w:id="58" w:name="ref-brunaEffectsForestFragmentation2002"/>
    <w:p>
      <w:pPr>
        <w:pStyle w:val="Bibliography"/>
      </w:pPr>
      <w:r>
        <w:t xml:space="preserve">Bruna, E. M. 2002. Effects of forest fragmentation on Heliconia acuminata seedling recruitment in central Amazonia. Oecologia 132:235–243.</w:t>
      </w:r>
    </w:p>
    <w:bookmarkEnd w:id="58"/>
    <w:bookmarkStart w:id="59"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59"/>
    <w:bookmarkStart w:id="60" w:name="X978da2346625177c73089ae35bff8246b4e8ad6"/>
    <w:p>
      <w:pPr>
        <w:pStyle w:val="Bibliography"/>
      </w:pPr>
      <w:r>
        <w:t xml:space="preserve">Bruna, E. M., and W. J. Kress. 2002. Habitat</w:t>
      </w:r>
      <w:r>
        <w:t xml:space="preserve"> </w:t>
      </w:r>
      <w:r>
        <w:t xml:space="preserve">Fragmentation</w:t>
      </w:r>
      <w:r>
        <w:t xml:space="preserve"> </w:t>
      </w:r>
      <w:r>
        <w:t xml:space="preserve">and the</w:t>
      </w:r>
      <w:r>
        <w:t xml:space="preserve"> </w:t>
      </w:r>
      <w:r>
        <w:t xml:space="preserve">Demographic Structure</w:t>
      </w:r>
      <w:r>
        <w:t xml:space="preserve"> </w:t>
      </w:r>
      <w:r>
        <w:t xml:space="preserve">of an</w:t>
      </w:r>
      <w:r>
        <w:t xml:space="preserve"> </w:t>
      </w:r>
      <w:r>
        <w:t xml:space="preserve">Amazonian Understory Herb</w:t>
      </w:r>
      <w:r>
        <w:t xml:space="preserve"> </w:t>
      </w:r>
      <w:r>
        <w:t xml:space="preserve">(</w:t>
      </w:r>
      <w:r>
        <w:t xml:space="preserve">Heliconia</w:t>
      </w:r>
      <w:r>
        <w:t xml:space="preserve"> </w:t>
      </w:r>
      <w:r>
        <w:t xml:space="preserve">acuminata). Conservation Biology 16:1256–1266.</w:t>
      </w:r>
    </w:p>
    <w:bookmarkEnd w:id="60"/>
    <w:bookmarkStart w:id="61" w:name="X11841c3d6dcef81abc5bd4b879b01b5a9b04cf7"/>
    <w:p>
      <w:pPr>
        <w:pStyle w:val="Bibliography"/>
      </w:pPr>
      <w:r>
        <w:t xml:space="preserve">Bruna, E. M., W. J. Kress, F. Marques, and O. F. da Silva. 2004. Heliconia acuminata reproductive success is independent of local floral density. Acta Amazonica 34:467–471.</w:t>
      </w:r>
    </w:p>
    <w:bookmarkEnd w:id="61"/>
    <w:bookmarkStart w:id="62"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Ecology:11.</w:t>
      </w:r>
    </w:p>
    <w:bookmarkEnd w:id="62"/>
    <w:bookmarkStart w:id="63" w:name="ref-brunaDemographicEffectsHabitat2005"/>
    <w:p>
      <w:pPr>
        <w:pStyle w:val="Bibliography"/>
      </w:pPr>
      <w:r>
        <w:t xml:space="preserve">Bruna, E. M., and M. K. Oli. 2005. Demographic effects of habitat fragmentation on a tropical herb: life-table response experiments. Ecology 86:1816–1824.</w:t>
      </w:r>
    </w:p>
    <w:bookmarkEnd w:id="63"/>
    <w:bookmarkStart w:id="64"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 El Niño events due to greenhouse warming. Nature Climate Change 4:111–116.</w:t>
      </w:r>
    </w:p>
    <w:bookmarkEnd w:id="64"/>
    <w:bookmarkStart w:id="65" w:name="ref-cortes2013"/>
    <w:p>
      <w:pPr>
        <w:pStyle w:val="Bibliography"/>
      </w:pPr>
      <w:r>
        <w:t xml:space="preserve">Cortes, M., M. Uriarte, M. Lemes, R. Gribel, W. J. Kress, P. E. Smouse, and E. M. Bruna. 2013. Low plant density enhances gene dispersal in the amazonian understory herb</w:t>
      </w:r>
      <w:r>
        <w:t xml:space="preserve"> </w:t>
      </w:r>
      <w:r>
        <w:rPr>
          <w:i/>
        </w:rPr>
        <w:t xml:space="preserve">Heliconia acuminata</w:t>
      </w:r>
      <w:r>
        <w:t xml:space="preserve">. Molecular Ecology 22:5716–5729.</w:t>
      </w:r>
    </w:p>
    <w:bookmarkEnd w:id="65"/>
    <w:bookmarkStart w:id="66" w:name="ref-criley1994"/>
    <w:p>
      <w:pPr>
        <w:pStyle w:val="Bibliography"/>
      </w:pPr>
      <w:r>
        <w:t xml:space="preserve">Criley, R., and S. Lekawatana. 1994. Year around production with high yields may be a possibility for heliconia chartacea. Acta Horticulturae 397:95102.</w:t>
      </w:r>
    </w:p>
    <w:bookmarkEnd w:id="66"/>
    <w:bookmarkStart w:id="67"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7"/>
    <w:bookmarkStart w:id="68" w:name="X48139e4cc1dc94a4ee4ffab594766423fb00579"/>
    <w:p>
      <w:pPr>
        <w:pStyle w:val="Bibliography"/>
      </w:pPr>
      <w:r>
        <w:t xml:space="preserve">Didham, R. K., V. Kapos, and R. M. Ewers. 2012. Rethinking the conceptual foundations of habitat fragmentation research. Oikos 121:161–170.</w:t>
      </w:r>
    </w:p>
    <w:bookmarkEnd w:id="68"/>
    <w:bookmarkStart w:id="69" w:name="ref-didhamEdgeStructureDetermines1999"/>
    <w:p>
      <w:pPr>
        <w:pStyle w:val="Bibliography"/>
      </w:pPr>
      <w:r>
        <w:t xml:space="preserve">Didham, R. K., and J. H. Lawton. 1999. Edge</w:t>
      </w:r>
      <w:r>
        <w:t xml:space="preserve"> </w:t>
      </w:r>
      <w:r>
        <w:t xml:space="preserve">Structure Determines</w:t>
      </w:r>
      <w:r>
        <w:t xml:space="preserve"> </w:t>
      </w:r>
      <w:r>
        <w:t xml:space="preserve">the</w:t>
      </w:r>
      <w:r>
        <w:t xml:space="preserve"> </w:t>
      </w:r>
      <w:r>
        <w:t xml:space="preserve">Magnitude</w:t>
      </w:r>
      <w:r>
        <w:t xml:space="preserve"> </w:t>
      </w:r>
      <w:r>
        <w:t xml:space="preserve">of</w:t>
      </w:r>
      <w:r>
        <w:t xml:space="preserve"> </w:t>
      </w:r>
      <w:r>
        <w:t xml:space="preserve">Changes</w:t>
      </w:r>
      <w:r>
        <w:t xml:space="preserve"> </w:t>
      </w:r>
      <w:r>
        <w:t xml:space="preserve">in</w:t>
      </w:r>
      <w:r>
        <w:t xml:space="preserve"> </w:t>
      </w:r>
      <w:r>
        <w:t xml:space="preserve">Microclimate</w:t>
      </w:r>
      <w:r>
        <w:t xml:space="preserve"> </w:t>
      </w:r>
      <w:r>
        <w:t xml:space="preserve">and</w:t>
      </w:r>
      <w:r>
        <w:t xml:space="preserve"> </w:t>
      </w:r>
      <w:r>
        <w:t xml:space="preserve">Vegetation Structure</w:t>
      </w:r>
      <w:r>
        <w:t xml:space="preserve"> </w:t>
      </w:r>
      <w:r>
        <w:t xml:space="preserve">in</w:t>
      </w:r>
      <w:r>
        <w:t xml:space="preserve"> </w:t>
      </w:r>
      <w:r>
        <w:t xml:space="preserve">Tropical Forest Fragments</w:t>
      </w:r>
      <w:r>
        <w:t xml:space="preserve">. Biotropica 31:17–30.</w:t>
      </w:r>
    </w:p>
    <w:bookmarkEnd w:id="69"/>
    <w:bookmarkStart w:id="70" w:name="ref-dowd2020"/>
    <w:p>
      <w:pPr>
        <w:pStyle w:val="Bibliography"/>
      </w:pPr>
      <w:r>
        <w:t xml:space="preserve">Dowd, C. E. 2020, May.</w:t>
      </w:r>
      <w:r>
        <w:t xml:space="preserve"> </w:t>
      </w:r>
      <w:r>
        <w:t xml:space="preserve">Investigating synergistic effects of climate and land-use change on the pollination of a tropical plant, Heliconia tortuosa</w:t>
      </w:r>
      <w:r>
        <w:t xml:space="preserve">. PhD thesis, Oregon State University.</w:t>
      </w:r>
    </w:p>
    <w:bookmarkEnd w:id="70"/>
    <w:bookmarkStart w:id="71"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1"/>
    <w:bookmarkStart w:id="72" w:name="Xf3dd42a23505af3f9cbf10a3864e2077941e80e"/>
    <w:p>
      <w:pPr>
        <w:pStyle w:val="Bibliography"/>
      </w:pPr>
      <w:r>
        <w:t xml:space="preserve">Ehrlén, J., W. F. Morris, T. von Euler, and J. P. Dahlgren. 2016. Advancing environmentally explicit structured population models of plants. Journal of Ecology 104:292–305.</w:t>
      </w:r>
    </w:p>
    <w:bookmarkEnd w:id="72"/>
    <w:bookmarkStart w:id="73"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73"/>
    <w:bookmarkStart w:id="74" w:name="X2c0574c19ecb88ad79c97e711ad3aa776095451"/>
    <w:p>
      <w:pPr>
        <w:pStyle w:val="Bibliography"/>
      </w:pPr>
      <w:r>
        <w:t xml:space="preserve">Ewers, R. M., and C. Banks-Leite. 2013. Fragmentation Impairs the Microclimate Buffering Effect of Tropical Forests. PLoS ONE 8:e58093.</w:t>
      </w:r>
    </w:p>
    <w:bookmarkEnd w:id="74"/>
    <w:bookmarkStart w:id="75"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75"/>
    <w:bookmarkStart w:id="76" w:name="ref-gasparriniDistributedLagLinear2011"/>
    <w:p>
      <w:pPr>
        <w:pStyle w:val="Bibliography"/>
      </w:pPr>
      <w:r>
        <w:t xml:space="preserve">Gasparrini, A. 2011. Distributed Lag Linear and Non-Linear Models in</w:t>
      </w:r>
      <w:r>
        <w:t xml:space="preserve"> </w:t>
      </w:r>
      <w:r>
        <w:rPr>
          <w:i/>
        </w:rPr>
        <w:t xml:space="preserve">R</w:t>
      </w:r>
      <w:r>
        <w:t xml:space="preserve"> </w:t>
      </w:r>
      <w:r>
        <w:t xml:space="preserve">: The Package</w:t>
      </w:r>
      <w:r>
        <w:t xml:space="preserve"> </w:t>
      </w:r>
      <w:r>
        <w:rPr>
          <w:b/>
        </w:rPr>
        <w:t xml:space="preserve">dlnm</w:t>
      </w:r>
      <w:r>
        <w:t xml:space="preserve">. Journal of Statistical Software 43.</w:t>
      </w:r>
    </w:p>
    <w:bookmarkEnd w:id="76"/>
    <w:bookmarkStart w:id="77" w:name="Xe414970ea21d8c849b2c097e43269a43386b2c2"/>
    <w:p>
      <w:pPr>
        <w:pStyle w:val="Bibliography"/>
      </w:pPr>
      <w:r>
        <w:t xml:space="preserve">Gasparrini, A., F. Scheipl, B. Armstrong, and M. G. Kenward. 2017. A penalized framework for distributed lag non-linear models: Penalized DLNMs. Biometrics 73:938–948.</w:t>
      </w:r>
    </w:p>
    <w:bookmarkEnd w:id="77"/>
    <w:bookmarkStart w:id="78" w:name="X9bc2a26956cae18881b5fa2ea3af9548e950f86"/>
    <w:p>
      <w:pPr>
        <w:pStyle w:val="Bibliography"/>
      </w:pPr>
      <w:r>
        <w:t xml:space="preserve">Gentry, A. H., and C. Dodson. 1987. Contribution of nontrees to species richness of a tropical rain forest. Biotropica 19:149–156.</w:t>
      </w:r>
    </w:p>
    <w:bookmarkEnd w:id="78"/>
    <w:bookmarkStart w:id="79"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79"/>
    <w:bookmarkStart w:id="80"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80"/>
    <w:bookmarkStart w:id="81" w:name="ref-he1996"/>
    <w:p>
      <w:pPr>
        <w:pStyle w:val="Bibliography"/>
      </w:pPr>
      <w:r>
        <w:t xml:space="preserve">He, J., C. W. Chee, and C. J. Goh. 1996.</w:t>
      </w:r>
      <w:r>
        <w:t xml:space="preserve"> </w:t>
      </w:r>
      <w:r>
        <w:t xml:space="preserve">‘</w:t>
      </w:r>
      <w:r>
        <w:t xml:space="preserve">Photoinhibition</w:t>
      </w:r>
      <w:r>
        <w:t xml:space="preserve">’</w:t>
      </w:r>
      <w:r>
        <w:t xml:space="preserve"> </w:t>
      </w:r>
      <w:r>
        <w:t xml:space="preserve">of Heliconia under natural tropical conditions: the importance of leaf orientation for light interception and leaf temperature. Plant, Cell &amp; Environment 19:1238–1248.</w:t>
      </w:r>
    </w:p>
    <w:bookmarkEnd w:id="81"/>
    <w:bookmarkStart w:id="82" w:name="ref-horvitz1988"/>
    <w:p>
      <w:pPr>
        <w:pStyle w:val="Bibliography"/>
      </w:pPr>
      <w:r>
        <w:t xml:space="preserve">Horvitz, C. C., and D. W. Schemske. 1988. Demographic Cost of Reproduction in a Neotropical Herb: An Experimental Field Study. Ecology 69:1741–1745.</w:t>
      </w:r>
    </w:p>
    <w:bookmarkEnd w:id="82"/>
    <w:bookmarkStart w:id="83" w:name="ref-horvitz2002"/>
    <w:p>
      <w:pPr>
        <w:pStyle w:val="Bibliography"/>
      </w:pPr>
      <w:r>
        <w:t xml:space="preserve">Horvitz, C. C., and D. W. Schemske. 2002. Effects of plant size, leaf herbivory, local competition and fruit production on survival, growth and future reproduction of a neotropical herb. Journal of Ecology 90:279–290.</w:t>
      </w:r>
    </w:p>
    <w:bookmarkEnd w:id="83"/>
    <w:bookmarkStart w:id="84"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84"/>
    <w:bookmarkStart w:id="85" w:name="ref-klimesova2018"/>
    <w:p>
      <w:pPr>
        <w:pStyle w:val="Bibliography"/>
      </w:pPr>
      <w:r>
        <w:t xml:space="preserve">Klimešová, J., J. Martínková, and G. Ottaviani. 2018. Belowground plant functional ecology: Towards an integrated perspective. Functional Ecology 32:2115–2126.</w:t>
      </w:r>
    </w:p>
    <w:bookmarkEnd w:id="85"/>
    <w:bookmarkStart w:id="86" w:name="Xce5a62b2f280cb1a4a43ff99388095d7a62a7a8"/>
    <w:p>
      <w:pPr>
        <w:pStyle w:val="Bibliography"/>
      </w:pPr>
      <w:r>
        <w:t xml:space="preserve">Kress, J. 1990. The diversity and distribution of</w:t>
      </w:r>
      <w:r>
        <w:t xml:space="preserve"> </w:t>
      </w:r>
      <w: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86"/>
    <w:bookmarkStart w:id="87" w:name="X9f61dec938fe8e6e39f980058ee27353eed1aa7"/>
    <w:p>
      <w:pPr>
        <w:pStyle w:val="Bibliography"/>
      </w:pPr>
      <w:r>
        <w:t xml:space="preserve">Kress, W. J. 1983. Self-incompatibility systems in</w:t>
      </w:r>
      <w:r>
        <w:t xml:space="preserve"> </w:t>
      </w:r>
      <w:r>
        <w:t xml:space="preserve">Central American Heliconia</w:t>
      </w:r>
      <w:r>
        <w:t xml:space="preserve">. Evolution 37:735–744.</w:t>
      </w:r>
    </w:p>
    <w:bookmarkEnd w:id="87"/>
    <w:bookmarkStart w:id="88"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88"/>
    <w:bookmarkStart w:id="89" w:name="ref-lauranceEffectsStrongDrought2001"/>
    <w:p>
      <w:pPr>
        <w:pStyle w:val="Bibliography"/>
      </w:pPr>
      <w:r>
        <w:t xml:space="preserve">Laurance, W. F., G. B. Williamson, P. Delamônica, A. Oliveira, T. E. Lovejoy, C. Gascon, and L. Pohl. 2001. Effects of a Strong Drought on Amazonian Forest Fragments and Edges. Journal of Tropical Ecology 17:771–785.</w:t>
      </w:r>
    </w:p>
    <w:bookmarkEnd w:id="89"/>
    <w:bookmarkStart w:id="90" w:name="ref-malhiClimateChangeDeforestation2008"/>
    <w:p>
      <w:pPr>
        <w:pStyle w:val="Bibliography"/>
      </w:pPr>
      <w:r>
        <w:t xml:space="preserve">Malhi, Y., J. T. Roberts, R. A. Betts, T. J. Killeen, W. Li, and C. A. Nobre. 2008. Climate</w:t>
      </w:r>
      <w:r>
        <w:t xml:space="preserve"> </w:t>
      </w:r>
      <w:r>
        <w:t xml:space="preserve">Change</w:t>
      </w:r>
      <w:r>
        <w:t xml:space="preserve">,</w:t>
      </w:r>
      <w:r>
        <w:t xml:space="preserve"> </w:t>
      </w:r>
      <w:r>
        <w:t xml:space="preserve">Deforestation</w:t>
      </w:r>
      <w:r>
        <w:t xml:space="preserve">, and the</w:t>
      </w:r>
      <w:r>
        <w:t xml:space="preserve"> </w:t>
      </w:r>
      <w:r>
        <w:t xml:space="preserve">Fate</w:t>
      </w:r>
      <w:r>
        <w:t xml:space="preserve"> </w:t>
      </w:r>
      <w:r>
        <w:t xml:space="preserve">of the</w:t>
      </w:r>
      <w:r>
        <w:t xml:space="preserve"> </w:t>
      </w:r>
      <w:r>
        <w:t xml:space="preserve">Amazon</w:t>
      </w:r>
      <w:r>
        <w:t xml:space="preserve">. Science 319:169–172.</w:t>
      </w:r>
    </w:p>
    <w:bookmarkEnd w:id="90"/>
    <w:bookmarkStart w:id="91" w:name="ref-marengoDroughtAmazonia20052008"/>
    <w:p>
      <w:pPr>
        <w:pStyle w:val="Bibliography"/>
      </w:pPr>
      <w:r>
        <w:t xml:space="preserve">Marengo, J. A., C. A. Nobre, J. Tomasella, M. D. Oyama, G. Sampaio de Oliveira, R. de Oliveira, H. Camargo, L. M. Alves, and I. F. Brown. 2008. The Drought of Amazonia in 2005. Journal of Climate 21:495–516.</w:t>
      </w:r>
    </w:p>
    <w:bookmarkEnd w:id="91"/>
    <w:bookmarkStart w:id="92" w:name="ref-marraPracticalVariableSelection2011"/>
    <w:p>
      <w:pPr>
        <w:pStyle w:val="Bibliography"/>
      </w:pPr>
      <w:r>
        <w:t xml:space="preserve">Marra, G., and S. N. Wood. 2011. Practical variable selection for generalized additive models. Computational Statistics &amp; Data Analysis 55:2372–2387.</w:t>
      </w:r>
    </w:p>
    <w:bookmarkEnd w:id="92"/>
    <w:bookmarkStart w:id="93" w:name="Xf94773ba59d65977147047af608c27f573b17bd"/>
    <w:p>
      <w:pPr>
        <w:pStyle w:val="Bibliography"/>
      </w:pPr>
      <w:r>
        <w:t xml:space="preserve">McKee, T. B., N. J. Doesken, and J. Kleist. 1993. The</w:t>
      </w:r>
      <w:r>
        <w:t xml:space="preserve"> </w:t>
      </w:r>
      <w:r>
        <w:t xml:space="preserve">Relationship</w:t>
      </w:r>
      <w:r>
        <w:t xml:space="preserve"> </w:t>
      </w:r>
      <w:r>
        <w:t xml:space="preserve">of</w:t>
      </w:r>
      <w:r>
        <w:t xml:space="preserve"> </w:t>
      </w:r>
      <w:r>
        <w:t xml:space="preserve">Drought Frequency</w:t>
      </w:r>
      <w:r>
        <w:t xml:space="preserve"> </w:t>
      </w:r>
      <w:r>
        <w:t xml:space="preserve">and</w:t>
      </w:r>
      <w:r>
        <w:t xml:space="preserve"> </w:t>
      </w:r>
      <w:r>
        <w:t xml:space="preserve">Duration</w:t>
      </w:r>
      <w:r>
        <w:t xml:space="preserve"> </w:t>
      </w:r>
      <w:r>
        <w:t xml:space="preserve">to</w:t>
      </w:r>
      <w:r>
        <w:t xml:space="preserve"> </w:t>
      </w:r>
      <w:r>
        <w:t xml:space="preserve">Time Scales</w:t>
      </w:r>
      <w:r>
        <w:t xml:space="preserve">.</w:t>
      </w:r>
    </w:p>
    <w:bookmarkEnd w:id="93"/>
    <w:bookmarkStart w:id="94" w:name="ref-mcphadenChildProdigy1997981999"/>
    <w:p>
      <w:pPr>
        <w:pStyle w:val="Bibliography"/>
      </w:pPr>
      <w:r>
        <w:t xml:space="preserve">McPhaden, M. J. 1999. The child prodigy of 1997-98. Nature 398:559–561.</w:t>
      </w:r>
    </w:p>
    <w:bookmarkEnd w:id="94"/>
    <w:bookmarkStart w:id="95"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95"/>
    <w:bookmarkStart w:id="96"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96"/>
    <w:bookmarkStart w:id="97" w:name="ref-mulkey1991"/>
    <w:p>
      <w:pPr>
        <w:pStyle w:val="Bibliography"/>
      </w:pPr>
      <w:r>
        <w:t xml:space="preserve">Mulkey, S. S., A. P. Smith, and S. J. Wright. 1991. Comparative life history and physiology of two understory Neotropical herbs. Oecologia 88:263–273.</w:t>
      </w:r>
    </w:p>
    <w:bookmarkEnd w:id="97"/>
    <w:bookmarkStart w:id="98" w:name="ref-mulkey1996"/>
    <w:p>
      <w:pPr>
        <w:pStyle w:val="Bibliography"/>
      </w:pPr>
      <w:r>
        <w:t xml:space="preserve">Mulkey, S. S., and S. J. Wright. 1996. Influence of Seasonal Drought on the Carbon Balance of Tropical Forest Plants. Pages 187–216</w:t>
      </w:r>
      <w:r>
        <w:t xml:space="preserve"> </w:t>
      </w:r>
      <w:r>
        <w:rPr>
          <w:i/>
        </w:rPr>
        <w:t xml:space="preserve">in</w:t>
      </w:r>
      <w:r>
        <w:t xml:space="preserve"> </w:t>
      </w:r>
      <w:r>
        <w:t xml:space="preserve">S. S. Mulkey, R. L. Chazdon, and A. P. Smith, editors. Springer US, Boston, MA.</w:t>
      </w:r>
    </w:p>
    <w:bookmarkEnd w:id="98"/>
    <w:bookmarkStart w:id="99" w:name="Xcba87c4d0d66a0034e8f1ed3082be1bfaa9b26c"/>
    <w:p>
      <w:pPr>
        <w:pStyle w:val="Bibliography"/>
      </w:pPr>
      <w:r>
        <w:t xml:space="preserve">Nakazono, E. M., E. M. Bruna, and R. C. G. Mesquita. 2004. Experiemental harvesting of the non-timber forest product</w:t>
      </w:r>
      <w:r>
        <w:t xml:space="preserve"> </w:t>
      </w:r>
      <w:r>
        <w:t xml:space="preserve">Ischnosiphon</w:t>
      </w:r>
      <w:r>
        <w:t xml:space="preserve"> </w:t>
      </w:r>
      <w:r>
        <w:t xml:space="preserve">polyphyllus in central</w:t>
      </w:r>
      <w:r>
        <w:t xml:space="preserve"> </w:t>
      </w:r>
      <w:r>
        <w:t xml:space="preserve">Amazonia</w:t>
      </w:r>
      <w:r>
        <w:t xml:space="preserve">. Forest Ecology and Management 190:219–225.</w:t>
      </w:r>
    </w:p>
    <w:bookmarkEnd w:id="99"/>
    <w:bookmarkStart w:id="100" w:name="ref-nihadRelationshipStressFlowering2018"/>
    <w:p>
      <w:pPr>
        <w:pStyle w:val="Bibliography"/>
      </w:pPr>
      <w:r>
        <w:t xml:space="preserve">Nihad, K., V. Krishnakumar, and V. L. Sheela. 2018. Relationship between</w:t>
      </w:r>
      <w:r>
        <w:t xml:space="preserve"> </w:t>
      </w:r>
      <w:r>
        <w:t xml:space="preserve">Stress</w:t>
      </w:r>
      <w:r>
        <w:t xml:space="preserve"> </w:t>
      </w:r>
      <w:r>
        <w:t xml:space="preserve">and</w:t>
      </w:r>
      <w:r>
        <w:t xml:space="preserve"> </w:t>
      </w:r>
      <w:r>
        <w:t xml:space="preserve">Flowering</w:t>
      </w:r>
      <w:r>
        <w:t xml:space="preserve"> </w:t>
      </w:r>
      <w:r>
        <w:t xml:space="preserve">in</w:t>
      </w:r>
      <w:r>
        <w:t xml:space="preserve"> </w:t>
      </w:r>
      <w:r>
        <w:t xml:space="preserve">Heliconia</w:t>
      </w:r>
      <w:r>
        <w:t xml:space="preserve"> </w:t>
      </w:r>
      <w:r>
        <w:t xml:space="preserve">(</w:t>
      </w:r>
      <w:r>
        <w:t xml:space="preserve">Heliconia Stricta</w:t>
      </w:r>
      <w:r>
        <w:t xml:space="preserve">). International Journal of Agriculture Sciences(IJAS) 10:5137.</w:t>
      </w:r>
    </w:p>
    <w:bookmarkEnd w:id="100"/>
    <w:bookmarkStart w:id="101" w:name="ref-ogleQuantifyingEcologicalMemory2015a"/>
    <w:p>
      <w:pPr>
        <w:pStyle w:val="Bibliography"/>
      </w:pPr>
      <w:r>
        <w:t xml:space="preserve">Ogle, K., J. J. Barber, G. A. Barron-Gafford, L. P. Bentley, J. M. Young, T. E. Huxman, M. E. Loik, and D. T. Tissue. 2015. Quantifying ecological memory in plant and ecosystem processes. Ecology Letters 18:221–235.</w:t>
      </w:r>
    </w:p>
    <w:bookmarkEnd w:id="101"/>
    <w:bookmarkStart w:id="102"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02"/>
    <w:bookmarkStart w:id="103" w:name="ref-pinheiro2021"/>
    <w:p>
      <w:pPr>
        <w:pStyle w:val="Bibliography"/>
      </w:pPr>
      <w:r>
        <w:t xml:space="preserve">Pinheiro, A. M., D. M. Silva Matos, W. Dawson, and R. O. Xavier. 2021. Effect of rhizome exposure to contrasting abiotic conditions on the performance of the invasive macrophyte Hedychium coronarium J. Koenig (Zingiberaceae). Plant Ecology 222:375–385.</w:t>
      </w:r>
    </w:p>
    <w:bookmarkEnd w:id="103"/>
    <w:bookmarkStart w:id="104" w:name="X7b3c79bfb7654af1f4b03dba64dad1a6765c972"/>
    <w:p>
      <w:pPr>
        <w:pStyle w:val="Bibliography"/>
      </w:pPr>
      <w:r>
        <w:t xml:space="preserve">R Core Team. 2020. R: A language and environment for statistical computing. Vienna, Austria.</w:t>
      </w:r>
    </w:p>
    <w:bookmarkEnd w:id="104"/>
    <w:bookmarkStart w:id="105"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05"/>
    <w:bookmarkStart w:id="106" w:name="Xb12eb3ae74cee1ee3c7d5e9cc24057fb72a1f52"/>
    <w:p>
      <w:pPr>
        <w:pStyle w:val="Bibliography"/>
      </w:pPr>
      <w:r>
        <w:t xml:space="preserve">Ribeiro, M. B. N., E. M. Bruna, and W. Mantovani. 2010. Influence of post-clearing treatment on the recovery of herbaceous plant communities in amazonian secondary forests. Restoration Ecology 18:50–58.</w:t>
      </w:r>
    </w:p>
    <w:bookmarkEnd w:id="106"/>
    <w:bookmarkStart w:id="107" w:name="ref-rundel2020"/>
    <w:p>
      <w:pPr>
        <w:pStyle w:val="Bibliography"/>
      </w:pPr>
      <w:r>
        <w:t xml:space="preserve">Rundel, P. W., A. M. Cooley, K. L. Gerst, E. C. Riordan, M. R. Sharifi, J. W. Sun, and J. A. Tower. 2020. Functional traits of broad-leaved monocot herbs in the understory and forest edges of a Costa Rican rainforest. PeerJ 8:e9958.</w:t>
      </w:r>
    </w:p>
    <w:bookmarkEnd w:id="107"/>
    <w:bookmarkStart w:id="108" w:name="ref-rundel1998"/>
    <w:p>
      <w:pPr>
        <w:pStyle w:val="Bibliography"/>
      </w:pPr>
      <w:r>
        <w:t xml:space="preserve">Rundel, P. W., M. R. Sharifi, A. C. Gibson, and K. J. Esler. 1998. Structural and physiological adaptation to light environments in neotropical heliconia (heliconiaceae). Journal of Tropical Ecology 14:789–801.</w:t>
      </w:r>
    </w:p>
    <w:bookmarkEnd w:id="108"/>
    <w:bookmarkStart w:id="109"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09"/>
    <w:bookmarkStart w:id="110"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10"/>
    <w:bookmarkStart w:id="111"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11"/>
    <w:bookmarkStart w:id="112"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12"/>
    <w:bookmarkStart w:id="113"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13"/>
    <w:bookmarkStart w:id="114" w:name="ref-sifres2007"/>
    <w:p>
      <w:pPr>
        <w:pStyle w:val="Bibliography"/>
      </w:pPr>
      <w:r>
        <w:t xml:space="preserve">Sifres, A., B. Picó, J. M. Blanca, R. De Frutos, and F. Nuez. 2007. Genetic</w:t>
      </w:r>
      <w:r>
        <w:t xml:space="preserve"> </w:t>
      </w:r>
      <w:r>
        <w:t xml:space="preserve">Structure</w:t>
      </w:r>
      <w:r>
        <w:t xml:space="preserve"> </w:t>
      </w:r>
      <w:r>
        <w:t xml:space="preserve">of</w:t>
      </w:r>
      <w:r>
        <w:t xml:space="preserve"> </w:t>
      </w:r>
      <w:r>
        <w:t xml:space="preserve">Lycopersicon</w:t>
      </w:r>
      <w:r>
        <w:t xml:space="preserve"> </w:t>
      </w:r>
      <w:r>
        <w:t xml:space="preserve">pimpinellifolium (</w:t>
      </w:r>
      <w:r>
        <w:t xml:space="preserve">Solanaceae</w:t>
      </w:r>
      <w:r>
        <w:t xml:space="preserve">)</w:t>
      </w:r>
      <w:r>
        <w:t xml:space="preserve"> </w:t>
      </w:r>
      <w:r>
        <w:t xml:space="preserve">Populations Collected</w:t>
      </w:r>
      <w:r>
        <w:t xml:space="preserve"> </w:t>
      </w:r>
      <w:r>
        <w:t xml:space="preserve">after the</w:t>
      </w:r>
      <w:r>
        <w:t xml:space="preserve"> </w:t>
      </w:r>
      <w:r>
        <w:t xml:space="preserve">ENSO Event</w:t>
      </w:r>
      <w:r>
        <w:t xml:space="preserve"> </w:t>
      </w:r>
      <w:r>
        <w:t xml:space="preserve">of 1997</w:t>
      </w:r>
      <w:r>
        <w:t xml:space="preserve">. Genetic Resources and Crop Evolution 54:359–377.</w:t>
      </w:r>
    </w:p>
    <w:bookmarkEnd w:id="114"/>
    <w:bookmarkStart w:id="115" w:name="ref-snowTropicalFrugivorousBirds1981"/>
    <w:p>
      <w:pPr>
        <w:pStyle w:val="Bibliography"/>
      </w:pPr>
      <w:r>
        <w:t xml:space="preserve">Snow, D. W. 1981. Tropical frugivorous birds and their food plants - a world survey. Biotropica 13:1–14.</w:t>
      </w:r>
    </w:p>
    <w:bookmarkEnd w:id="115"/>
    <w:bookmarkStart w:id="116" w:name="ref-stiles1975"/>
    <w:p>
      <w:pPr>
        <w:pStyle w:val="Bibliography"/>
      </w:pPr>
      <w:r>
        <w:t xml:space="preserve">Stiles, F. G. 1975. Ecology, flowering phenology, and hummingbird pollination of some costa rican heliconia species. Ecology 56:285301.</w:t>
      </w:r>
    </w:p>
    <w:bookmarkEnd w:id="116"/>
    <w:bookmarkStart w:id="117"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17"/>
    <w:bookmarkStart w:id="118" w:name="Xa086824b435fe5a87603598bac58c770d0b433c"/>
    <w:p>
      <w:pPr>
        <w:pStyle w:val="Bibliography"/>
      </w:pPr>
      <w:r>
        <w:t xml:space="preserve">Tenhumberg, B., E. E. Crone, S. Ramula, and A. J. Tyre. 2018. Time-lagged effects of weather on plant demography: Drought and &amp;lt;i&amp;gt;</w:t>
      </w:r>
      <w:r>
        <w:t xml:space="preserve">Astragalus</w:t>
      </w:r>
      <w:r>
        <w:t xml:space="preserve"> </w:t>
      </w:r>
      <w:r>
        <w:t xml:space="preserve">scaphoides&amp;lt;/i&amp;gt; Ecology 99:915–925.</w:t>
      </w:r>
    </w:p>
    <w:bookmarkEnd w:id="118"/>
    <w:bookmarkStart w:id="119"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w:t>
      </w:r>
      <w:r>
        <w:t xml:space="preserve"> </w:t>
      </w:r>
      <w:r>
        <w:t xml:space="preserve">Demographic Patterns</w:t>
      </w:r>
      <w:r>
        <w:t xml:space="preserve"> </w:t>
      </w:r>
      <w:r>
        <w:t xml:space="preserve">in a</w:t>
      </w:r>
      <w:r>
        <w:t xml:space="preserve"> </w:t>
      </w:r>
      <w:r>
        <w:t xml:space="preserve">Substitute Food</w:t>
      </w:r>
      <w:r>
        <w:t xml:space="preserve"> </w:t>
      </w:r>
      <w:r>
        <w:t xml:space="preserve">for</w:t>
      </w:r>
      <w:r>
        <w:t xml:space="preserve"> </w:t>
      </w:r>
      <w:r>
        <w:t xml:space="preserve">Collared Peccaries</w:t>
      </w:r>
      <w:r>
        <w:t xml:space="preserve"> </w:t>
      </w:r>
      <w:r>
        <w:t xml:space="preserve">in</w:t>
      </w:r>
      <w:r>
        <w:t xml:space="preserve"> </w:t>
      </w:r>
      <w:r>
        <w:t xml:space="preserve">Panama</w:t>
      </w:r>
      <w:r>
        <w:t xml:space="preserve">. Biotropica 35:189–197.</w:t>
      </w:r>
    </w:p>
    <w:bookmarkEnd w:id="119"/>
    <w:bookmarkStart w:id="120" w:name="ref-trmm3b43"/>
    <w:p>
      <w:pPr>
        <w:pStyle w:val="Bibliography"/>
      </w:pPr>
      <w:r>
        <w:t xml:space="preserve">TRMM (TMPA/3B43) rainfall estimate L3 1 month 0.25 degree x 0.25 degree V7. 2011. Goddard Earth Sciences Data; Information Services Center (GES DISC), Greenbelt, MD.</w:t>
      </w:r>
    </w:p>
    <w:bookmarkEnd w:id="120"/>
    <w:bookmarkStart w:id="121" w:name="X2990ffae4b5729b697c683600dc97fa0cd90c99"/>
    <w:p>
      <w:pPr>
        <w:pStyle w:val="Bibliography"/>
      </w:pPr>
      <w:r>
        <w:t xml:space="preserve">Uriarte, M., M. Anciães, M. T. B. da Silva, P. Rubim, E. Johnson, and E. M. Bruna. 2011. Disentangling the drivers of reduced long-distance seed dispersal by birds in an experimentally fragmented landscape. Ecology 92:924–937.</w:t>
      </w:r>
    </w:p>
    <w:bookmarkEnd w:id="121"/>
    <w:bookmarkStart w:id="122" w:name="Xf29f8c32453d49a41f322a6e98d6ea516b6ff1d"/>
    <w:p>
      <w:pPr>
        <w:pStyle w:val="Bibliography"/>
      </w:pPr>
      <w:r>
        <w:t xml:space="preserve">Vicente-Serrano, S. M., S. Beguería, and J. I. López-Moreno. 2010.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 Journal of Climate 23:1696–1718.</w:t>
      </w:r>
    </w:p>
    <w:bookmarkEnd w:id="122"/>
    <w:bookmarkStart w:id="123" w:name="ref-westerband2015"/>
    <w:p>
      <w:pPr>
        <w:pStyle w:val="Bibliography"/>
      </w:pPr>
      <w:r>
        <w:t xml:space="preserve">Westerband, A. C., and C. C. Horvitz. 2015. Interactions between plant size and canopy openness influence vital rates and life-history tradeoffs in two neotropical understory herbs. American Journal of Botany 102:1290–1299.</w:t>
      </w:r>
    </w:p>
    <w:bookmarkEnd w:id="123"/>
    <w:bookmarkStart w:id="124" w:name="ref-westerband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24"/>
    <w:bookmarkStart w:id="125" w:name="ref-williamsonAmazonianTreeMortality2000"/>
    <w:p>
      <w:pPr>
        <w:pStyle w:val="Bibliography"/>
      </w:pPr>
      <w:r>
        <w:t xml:space="preserve">Williamson, G. B., W. F. Laurance, A. A. Oliveira, P. Delamônica, C. Gascon, T. E. Lovejoy, and L. Pohl. 2000. Amazonian Tree Mortality during the 1997 El Niño Drought. Conservation Biology 14:1538–1542.</w:t>
      </w:r>
    </w:p>
    <w:bookmarkEnd w:id="125"/>
    <w:bookmarkStart w:id="126" w:name="ref-woodGeneralizedAdditiveModels2017"/>
    <w:p>
      <w:pPr>
        <w:pStyle w:val="Bibliography"/>
      </w:pPr>
      <w:r>
        <w:t xml:space="preserve">Wood, S. N. 2017. Generalized additive models: An introduction with r. Second edition. CRC Press/Taylor &amp; Francis Group, Boca Raton.</w:t>
      </w:r>
    </w:p>
    <w:bookmarkEnd w:id="126"/>
    <w:bookmarkStart w:id="127" w:name="ref-woodsimonn.ChapterSmoothers"/>
    <w:p>
      <w:pPr>
        <w:pStyle w:val="Bibliography"/>
      </w:pPr>
      <w:r>
        <w:t xml:space="preserve">Wood, S. N. (n.d.). Chapter 5:</w:t>
      </w:r>
      <w:r>
        <w:t xml:space="preserve"> </w:t>
      </w:r>
      <w:r>
        <w:t xml:space="preserve">Smoothers</w:t>
      </w:r>
      <w:r>
        <w:t xml:space="preserve">. Pages 195–247 Generalized additive models: An introduction with</w:t>
      </w:r>
      <w:r>
        <w:t xml:space="preserve"> </w:t>
      </w:r>
      <w:r>
        <w:t xml:space="preserve">R</w:t>
      </w:r>
      <w:r>
        <w:t xml:space="preserve">.</w:t>
      </w:r>
    </w:p>
    <w:bookmarkEnd w:id="127"/>
    <w:bookmarkStart w:id="128" w:name="ref-wright1992"/>
    <w:p>
      <w:pPr>
        <w:pStyle w:val="Bibliography"/>
      </w:pPr>
      <w:r>
        <w:t xml:space="preserve">Wright, S. J. 1992. Seasonal drought, soil fertility and the species density of tropical forest plant communities. Trends in Ecology &amp; Evolution 7:260–263.</w:t>
      </w:r>
    </w:p>
    <w:bookmarkEnd w:id="128"/>
    <w:bookmarkStart w:id="129" w:name="ref-wrightSeasonalNinoLonger2006"/>
    <w:p>
      <w:pPr>
        <w:pStyle w:val="Bibliography"/>
      </w:pPr>
      <w:r>
        <w:t xml:space="preserve">Wright, S. J., and O. Calderon. 2006. Seasonal, el nino and longer term changes in flower and seed production in a moist tropical forest. Ecology Letters 9:35–44.</w:t>
      </w:r>
    </w:p>
    <w:bookmarkEnd w:id="129"/>
    <w:bookmarkStart w:id="130" w:name="ref-xavierDailyGriddedMeteorological2016"/>
    <w:p>
      <w:pPr>
        <w:pStyle w:val="Bibliography"/>
      </w:pPr>
      <w:r>
        <w:t xml:space="preserve">Xavier, A. C., C. W. King, and B. R. Scanlon. 2016. Daily gridded meteorological variables in Brazil (1980</w:t>
      </w:r>
      <w:r>
        <w:t xml:space="preserve">2013). International Journal of Climatology 36:2644–2659.</w:t>
      </w:r>
    </w:p>
    <w:bookmarkEnd w:id="130"/>
    <w:bookmarkStart w:id="131"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31"/>
    <w:bookmarkStart w:id="132" w:name="ref-zengCausesImpacts20052008"/>
    <w:p>
      <w:pPr>
        <w:pStyle w:val="Bibliography"/>
      </w:pPr>
      <w:r>
        <w:t xml:space="preserve">Zeng, N., J.-H. Yoon, J. A. Marengo, A. Subramaniam, C. A. Nobre, A. Mariotti, and J. D. Neelin. 2008. Causes and impacts of the 2005 Amazon drought. Environmental Research Letters 3:014002.</w:t>
      </w:r>
    </w:p>
    <w:bookmarkEnd w:id="132"/>
    <w:bookmarkEnd w:id="133"/>
    <w:p>
      <w:r>
        <w:br w:type="page"/>
      </w:r>
    </w:p>
    <w:bookmarkStart w:id="134" w:name="colophon"/>
    <w:p>
      <w:pPr>
        <w:pStyle w:val="Heading3"/>
      </w:pPr>
      <w:r>
        <w:t xml:space="preserve">Colophon</w:t>
      </w:r>
    </w:p>
    <w:p>
      <w:pPr>
        <w:pStyle w:val="FirstParagraph"/>
      </w:pPr>
      <w:r>
        <w:t xml:space="preserve">This report was generated on 2021-04-06 10:52:03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2021-04-06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0.21       2020-10-13 [?]</w:t>
      </w:r>
      <w:r>
        <w:br/>
      </w:r>
      <w:r>
        <w:rPr>
          <w:rStyle w:val="VerbatimChar"/>
        </w:rPr>
        <w:t xml:space="preserve">#&gt;  P broom        * 0.7.5      2021-02-19 [?]</w:t>
      </w:r>
      <w:r>
        <w:br/>
      </w:r>
      <w:r>
        <w:rPr>
          <w:rStyle w:val="VerbatimChar"/>
        </w:rPr>
        <w:t xml:space="preserve">#&gt;  P cachem         1.0.4      2021-02-13 [?]</w:t>
      </w:r>
      <w:r>
        <w:br/>
      </w:r>
      <w:r>
        <w:rPr>
          <w:rStyle w:val="VerbatimChar"/>
        </w:rPr>
        <w:t xml:space="preserve">#&gt;  P callr          3.6.0      2021-03-28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2.3.1      2021-02-23 [?]</w:t>
      </w:r>
      <w:r>
        <w:br/>
      </w:r>
      <w:r>
        <w:rPr>
          <w:rStyle w:val="VerbatimChar"/>
        </w:rPr>
        <w:t xml:space="preserve">#&gt;  P cluster        2.1.1      2021-02-14 [?]</w:t>
      </w:r>
      <w:r>
        <w:br/>
      </w:r>
      <w:r>
        <w:rPr>
          <w:rStyle w:val="VerbatimChar"/>
        </w:rPr>
        <w:t xml:space="preserve">#&gt;  P codetools      0.2-18     2020-11-04 [?]</w:t>
      </w:r>
      <w:r>
        <w:br/>
      </w:r>
      <w:r>
        <w:rPr>
          <w:rStyle w:val="VerbatimChar"/>
        </w:rPr>
        <w:t xml:space="preserve">#&gt;  P colorspace   * 2.0-0      2020-11-11 [?]</w:t>
      </w:r>
      <w:r>
        <w:br/>
      </w:r>
      <w:r>
        <w:rPr>
          <w:rStyle w:val="VerbatimChar"/>
        </w:rPr>
        <w:t xml:space="preserve">#&gt;  P conflicted   * 1.0.4      2019-06-21 [?]</w:t>
      </w:r>
      <w:r>
        <w:br/>
      </w:r>
      <w:r>
        <w:rPr>
          <w:rStyle w:val="VerbatimChar"/>
        </w:rPr>
        <w:t xml:space="preserve">#&gt;    crayon         1.4.1      2021-02-08 [1]</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2.1.0      2021-02-03 [?]</w:t>
      </w:r>
      <w:r>
        <w:br/>
      </w:r>
      <w:r>
        <w:rPr>
          <w:rStyle w:val="VerbatimChar"/>
        </w:rPr>
        <w:t xml:space="preserve">#&gt;  P desc           1.3.0      2021-03-05 [?]</w:t>
      </w:r>
      <w:r>
        <w:br/>
      </w:r>
      <w:r>
        <w:rPr>
          <w:rStyle w:val="VerbatimChar"/>
        </w:rPr>
        <w:t xml:space="preserve">#&gt;  P devtools       2.3.2      2020-09-18 [?]</w:t>
      </w:r>
      <w:r>
        <w:br/>
      </w:r>
      <w:r>
        <w:rPr>
          <w:rStyle w:val="VerbatimChar"/>
        </w:rPr>
        <w:t xml:space="preserve">#&gt;    digest         0.6.27     2020-10-24 [1]</w:t>
      </w:r>
      <w:r>
        <w:br/>
      </w:r>
      <w:r>
        <w:rPr>
          <w:rStyle w:val="VerbatimChar"/>
        </w:rPr>
        <w:t xml:space="preserve">#&gt;  P dlnm         * 2.4.5      2021-03-21 [?]</w:t>
      </w:r>
      <w:r>
        <w:br/>
      </w:r>
      <w:r>
        <w:rPr>
          <w:rStyle w:val="VerbatimChar"/>
        </w:rPr>
        <w:t xml:space="preserve">#&gt;  P dotenv       * 1.0.2      2017-03-01 [?]</w:t>
      </w:r>
      <w:r>
        <w:br/>
      </w:r>
      <w:r>
        <w:rPr>
          <w:rStyle w:val="VerbatimChar"/>
        </w:rPr>
        <w:t xml:space="preserve">#&gt;  P dplyr        * 1.0.5      2021-03-05 [?]</w:t>
      </w:r>
      <w:r>
        <w:br/>
      </w:r>
      <w:r>
        <w:rPr>
          <w:rStyle w:val="VerbatimChar"/>
        </w:rPr>
        <w:t xml:space="preserve">#&gt;  P ellipsis       0.3.1      2020-05-15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0.5.1.9002 2021-04-02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Hmisc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1.31       2021-01-27 [?]</w:t>
      </w:r>
      <w:r>
        <w:br/>
      </w:r>
      <w:r>
        <w:rPr>
          <w:rStyle w:val="VerbatimChar"/>
        </w:rPr>
        <w:t xml:space="preserve">#&gt;    labeling       0.4.2      2020-10-20 [1]</w:t>
      </w:r>
      <w:r>
        <w:br/>
      </w:r>
      <w:r>
        <w:rPr>
          <w:rStyle w:val="VerbatimChar"/>
        </w:rPr>
        <w:t xml:space="preserve">#&gt;  P latex2exp    * 0.5.0      2021-03-18 [?]</w:t>
      </w:r>
      <w:r>
        <w:br/>
      </w:r>
      <w:r>
        <w:rPr>
          <w:rStyle w:val="VerbatimChar"/>
        </w:rPr>
        <w:t xml:space="preserve">#&gt;  P lattice        0.20-41    2020-04-02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7.3-53.1   2021-02-12 [?]</w:t>
      </w:r>
      <w:r>
        <w:br/>
      </w:r>
      <w:r>
        <w:rPr>
          <w:rStyle w:val="VerbatimChar"/>
        </w:rPr>
        <w:t xml:space="preserve">#&gt;  P Matrix         1.3-2      2021-01-06 [?]</w:t>
      </w:r>
      <w:r>
        <w:br/>
      </w:r>
      <w:r>
        <w:rPr>
          <w:rStyle w:val="VerbatimChar"/>
        </w:rPr>
        <w:t xml:space="preserve">#&gt;  P memoise        2.0.0      2021-01-26 [?]</w:t>
      </w:r>
      <w:r>
        <w:br/>
      </w:r>
      <w:r>
        <w:rPr>
          <w:rStyle w:val="VerbatimChar"/>
        </w:rPr>
        <w:t xml:space="preserve">#&gt;  P mgcv         * 1.8-34     2021-02-16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7.3-15     2021-01-24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1.5.1      2021-03-05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1.2.0      2021-02-23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3.5.0      2021-03-23 [?]</w:t>
      </w:r>
      <w:r>
        <w:br/>
      </w:r>
      <w:r>
        <w:rPr>
          <w:rStyle w:val="VerbatimChar"/>
        </w:rPr>
        <w:t xml:space="preserve">#&gt;  P ps             1.6.0      2021-02-28 [?]</w:t>
      </w:r>
      <w:r>
        <w:br/>
      </w:r>
      <w:r>
        <w:rPr>
          <w:rStyle w:val="VerbatimChar"/>
        </w:rPr>
        <w:t xml:space="preserve">#&gt;  P purrr        * 0.3.4      2020-04-17 [?]</w:t>
      </w:r>
      <w:r>
        <w:br/>
      </w:r>
      <w:r>
        <w:rPr>
          <w:rStyle w:val="VerbatimChar"/>
        </w:rPr>
        <w:t xml:space="preserve">#&gt;    R6             2.5.0      2020-10-28 [1]</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1.0.0      2021-01-27 [?]</w:t>
      </w:r>
      <w:r>
        <w:br/>
      </w:r>
      <w:r>
        <w:rPr>
          <w:rStyle w:val="VerbatimChar"/>
        </w:rPr>
        <w:t xml:space="preserve">#&gt;  P rlang          0.4.10     2020-12-30 [?]</w:t>
      </w:r>
      <w:r>
        <w:br/>
      </w:r>
      <w:r>
        <w:rPr>
          <w:rStyle w:val="VerbatimChar"/>
        </w:rPr>
        <w:t xml:space="preserve">#&gt;  P rmarkdown    * 2.7        2021-02-19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statmod      * 1.4.35     2020-10-19 [1]</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3.2-10     2021-03-16 [?]</w:t>
      </w:r>
      <w:r>
        <w:br/>
      </w:r>
      <w:r>
        <w:rPr>
          <w:rStyle w:val="VerbatimChar"/>
        </w:rPr>
        <w:t xml:space="preserve">#&gt;  P tarchetypes  * 0.1.1      2021-03-28 [?]</w:t>
      </w:r>
      <w:r>
        <w:br/>
      </w:r>
      <w:r>
        <w:rPr>
          <w:rStyle w:val="VerbatimChar"/>
        </w:rPr>
        <w:t xml:space="preserve">#&gt;  P targets      * 0.3.1      2021-03-28 [?]</w:t>
      </w:r>
      <w:r>
        <w:br/>
      </w:r>
      <w:r>
        <w:rPr>
          <w:rStyle w:val="VerbatimChar"/>
        </w:rPr>
        <w:t xml:space="preserve">#&gt;  P testthat       3.0.2      2021-02-14 [?]</w:t>
      </w:r>
      <w:r>
        <w:br/>
      </w:r>
      <w:r>
        <w:rPr>
          <w:rStyle w:val="VerbatimChar"/>
        </w:rPr>
        <w:t xml:space="preserve">#&gt;  P tibble       * 3.1.0      2021-02-25 [?]</w:t>
      </w:r>
      <w:r>
        <w:br/>
      </w:r>
      <w:r>
        <w:rPr>
          <w:rStyle w:val="VerbatimChar"/>
        </w:rPr>
        <w:t xml:space="preserve">#&gt;  P tidyr        * 1.1.3      2021-03-03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tsibble      * 1.0.0      2021-02-20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0.3.7      2021-03-29 [?]</w:t>
      </w:r>
      <w:r>
        <w:br/>
      </w:r>
      <w:r>
        <w:rPr>
          <w:rStyle w:val="VerbatimChar"/>
        </w:rPr>
        <w:t xml:space="preserve">#&gt;  P withr          2.4.1      2021-01-26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(gavinsimpson/gratia@0bf4f0f)</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/private/var/folders/b_/2vfnxxls5vs401tmhhb3wqdh0000gp/T/RtmpYfZEnH/renv-system-library</w:t>
      </w:r>
      <w:r>
        <w:br/>
      </w:r>
      <w:r>
        <w:rPr>
          <w:rStyle w:val="VerbatimChar"/>
        </w:rPr>
        <w:t xml:space="preserve">#&gt; [3] /private/var/folders/b_/2vfnxxls5vs401tmhhb3wqdh0000gp/T/RtmpfT5q3x/renv-system-library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[d269a8b] 2021-04-06: remove rug plot entirely</w: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_rels/footnotes.xml.rels><?xml version="1.0" encoding="UTF-8"?>
<Relationships xmlns="http://schemas.openxmlformats.org/package/2006/relationships"><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2021-04-06T14:52:06Z</dcterms:created>
  <dcterms:modified xsi:type="dcterms:W3CDTF">2021-04-06T14:52:06Z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06 April,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