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24</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 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 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 Fragmentation is associated with myriad ecological changes, including the local and regional extinction of plant species</w:t>
      </w:r>
      <w:r>
        <w:t xml:space="preserve"> </w:t>
      </w:r>
      <w:r>
        <w:t xml:space="preserve">(da Silva &amp; Tabarelli, 2000; William F. Laurance et al., 2006)</w:t>
      </w:r>
      <w:r>
        <w:t xml:space="preserve">. Although the demographic mechanisms responsible these extinctions are poorly understood</w:t>
      </w:r>
      <w:r>
        <w:t xml:space="preserve"> </w:t>
      </w:r>
      <w:r>
        <w:t xml:space="preserve">(E. M. 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(E. M. Bruna, 1999 ; W. F. Laurance et al., 1998; Zartman et al., 2015)</w:t>
      </w:r>
      <w:r>
        <w:t xml:space="preserve">. Despite the fact that this mechanism is thought to be particularly important in species-rich tropical forests</w:t>
      </w:r>
      <w:r>
        <w:t xml:space="preserve"> </w:t>
      </w:r>
      <w:r>
        <w:t xml:space="preserve">(Betts et al., 2019; Didham &amp; Lawton, 1999; W. F.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 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 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 Plant populations may be particularly sensitive – an increase in the frequency and severity of extreme precipitation events can have detrimental consequences for survival and reproduction</w:t>
      </w:r>
      <w:r>
        <w:t xml:space="preserve"> </w:t>
      </w:r>
      <w:r>
        <w:t xml:space="preserve">(Esteban et al., 2021; Gaoue et al., 2019)</w:t>
      </w:r>
      <w:r>
        <w:t xml:space="preserve">. This, coupled with the evidence that growth and survivorship are already lower in fragments</w:t>
      </w:r>
      <w:r>
        <w:t xml:space="preserve"> </w:t>
      </w:r>
      <w:r>
        <w:t xml:space="preserve">(E. M. Bruna et al., 2002; W. F. Laurance et al., 1998; Zartman et al., 2015)</w:t>
      </w:r>
      <w:r>
        <w:t xml:space="preserve">, has led to speculation that plants in tropical forest fragments are particularly at risk from drought and other climatic extremes</w:t>
      </w:r>
      <w:r>
        <w:t xml:space="preserve"> </w:t>
      </w:r>
      <w:r>
        <w:t xml:space="preserve">(W. F. 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(E. M. Bruna et al., 2009; Ehrlen et al., 2016)</w:t>
      </w:r>
      <w:r>
        <w:t xml:space="preserve">, making it challenging to draw broader demographic conclusions. Similarly, there is a growing literature on how tropical plants respond to droughts</w:t>
      </w:r>
      <w:r>
        <w:t xml:space="preserve"> </w:t>
      </w:r>
      <w:r>
        <w:t xml:space="preserve">(Esquivel-Muelbert et al., 2019; González-M et al., 2020; María Uriarte et al., 2016)</w:t>
      </w:r>
      <w:r>
        <w:t xml:space="preserve">, but few studies have compared the responses of plants in continuous forest with those in forest fragments</w:t>
      </w:r>
      <w:r>
        <w:t xml:space="preserve"> </w:t>
      </w:r>
      <w:r>
        <w:t xml:space="preserve">(W. F. 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Salguero-Gómez et al., 2015)</w:t>
      </w:r>
      <w:r>
        <w:t xml:space="preserve">. These data are critical not simply because they allow for capturing variation in climatic conditions and the resulting demographic responses</w:t>
      </w:r>
      <w:r>
        <w:t xml:space="preserve"> </w:t>
      </w:r>
      <w:r>
        <w:t xml:space="preserve">(W. F. Morris &amp; Doak, 2002; Teller et al., 2016)</w:t>
      </w:r>
      <w:r>
        <w:t xml:space="preserve">. 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 Nevertheless, the impacts of global change phenomena on their demography remain conspicuously understudied</w:t>
      </w:r>
      <w:r>
        <w:t xml:space="preserve"> </w:t>
      </w:r>
      <w:r>
        <w:t xml:space="preserve">(E. M. Bruna et al., 2009)</w:t>
      </w:r>
      <w:r>
        <w:t xml:space="preserve">. 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 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 These species produce fewer inflorescences and are pollinated by traplining rather than territorial hummingbirds</w:t>
      </w:r>
      <w:r>
        <w:t xml:space="preserve"> </w:t>
      </w:r>
      <w:r>
        <w:t xml:space="preserve">(E. M. Bruna et al., 2004; Stouffer &amp; Bierregaard, 1996)</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(E. M. Bruna et al., 2004)</w:t>
      </w:r>
      <w:r>
        <w:t xml:space="preserve">. 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(E. M. Bruna &amp; Kress, 2002)</w:t>
      </w:r>
      <w:r>
        <w:t xml:space="preserve">. 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(E. M. Bruna, 1999; E. M.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(E. M. Bruna, 2002; E. M.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E. M. 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(E. M. 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 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 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r>
        <w:t xml:space="preserve"> </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2.6-fold more plants than plots in 1-ha fragments (CF = 4565 ± 3473 SD; 1-ha = 1723 ± 179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2</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w:t>
      </w:r>
      <m:oMath>
        <m:r>
          <m:t>p</m:t>
        </m:r>
        <m:r>
          <m:rPr>
            <m:sty m:val="p"/>
          </m:rPr>
          <m:t>&lt;</m:t>
        </m:r>
        <m:r>
          <m:t>0.001</m:t>
        </m:r>
      </m:oMath>
      <w:r>
        <w:t xml:space="preserve">), growth (</w:t>
      </w:r>
      <m:oMath>
        <m:r>
          <m:t>p</m:t>
        </m:r>
        <m:r>
          <m:rPr>
            <m:sty m:val="p"/>
          </m:rPr>
          <m:t>&lt;</m:t>
        </m:r>
        <m:r>
          <m:t>0.001</m:t>
        </m:r>
      </m:oMath>
      <w:r>
        <w:t xml:space="preserve">), and flowering (</w:t>
      </w:r>
      <m:oMath>
        <m:r>
          <m:t>p</m:t>
        </m:r>
        <m:r>
          <m:rPr>
            <m:sty m:val="p"/>
          </m:rPr>
          <m:t>&lt;</m:t>
        </m:r>
        <m:r>
          <m:t>0.001</m:t>
        </m:r>
      </m:oMath>
      <w:r>
        <w:t xml:space="preserve">)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3</w:t>
      </w:r>
      <w:r>
        <w:t xml:space="preserve">b from Figure</w:t>
      </w:r>
      <w:r>
        <w:t xml:space="preserve"> </w:t>
      </w:r>
      <w:r>
        <w:t xml:space="preserve">3</w:t>
      </w:r>
      <w:r>
        <w:t xml:space="preserve">a to produce Figure</w:t>
      </w:r>
      <w:r>
        <w:t xml:space="preserve"> </w:t>
      </w:r>
      <w:r>
        <w:t xml:space="preserve">3</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3</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surface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5</w:t>
      </w:r>
      <w:r>
        <w:t xml:space="preserve">c).</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There was no evidence for a cost of reproduction—in both forest and fragments, flowering in the previous year was a significant predictor of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w:t>
      </w:r>
      <w:r>
        <w:t xml:space="preserve"> </w:t>
      </w:r>
      <w:r>
        <w:t xml:space="preserve">However, the coefficients were always positive, indicating that flowering in the previous year was positively related to both size and flowering probability in the current year.</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 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 We also found that the delayed responses of populations in fragments can differ significantly in magnitude, direction, and lag time from those of populations in continuous forest. This suggests that the hypothesized synergies between climate and fragmentation on population dynamics</w:t>
      </w:r>
      <w:r>
        <w:t xml:space="preserve"> </w:t>
      </w:r>
      <w:r>
        <w:t xml:space="preserve">(W. F. 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w:t>
      </w:r>
      <w:r>
        <w:t xml:space="preserve">), and that the observed interannual variation is largely driven by dynamic patterns of recruitment</w:t>
      </w:r>
      <w:r>
        <w:t xml:space="preserve"> </w:t>
      </w:r>
      <w:r>
        <w:t xml:space="preserve">(E. M. Bruna, 2002)</w:t>
      </w:r>
      <w:r>
        <w:t xml:space="preserve"> </w:t>
      </w:r>
      <w:r>
        <w:t xml:space="preserve">coupled with low mortality for plants beyond the smallest size classes</w:t>
      </w:r>
      <w:r>
        <w:t xml:space="preserve"> </w:t>
      </w:r>
      <w:r>
        <w:t xml:space="preserve">(Emilio M. 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 This could lead to erroneous extrapolations regarding the effects of fragmentation on reproductive mutualists or population genetic structure</w:t>
      </w:r>
      <w:r>
        <w:t xml:space="preserve"> </w:t>
      </w:r>
      <w:r>
        <w:t xml:space="preserve">(Côrtes et al., 2013; María Uriarte et al., 2010; María Uriarte et al., 2011)</w:t>
      </w:r>
      <w:r>
        <w:t xml:space="preserve">. 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(William F. 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3</w:t>
      </w:r>
      <w:r>
        <w:t xml:space="preserve">,</w:t>
      </w:r>
      <w:r>
        <w:t xml:space="preserve"> </w:t>
      </w:r>
      <w:r>
        <w:t xml:space="preserve">4</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(W. F. 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 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 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 This has largely been due to the challenge (both ecologically and statistically)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 For example, the flowering shoots of</w:t>
      </w:r>
      <w:r>
        <w:t xml:space="preserve"> </w:t>
      </w:r>
      <w:r>
        <w:rPr>
          <w:iCs/>
          <w:i/>
        </w:rPr>
        <w:t xml:space="preserve">Heliconia chartacea</w:t>
      </w:r>
      <w:r>
        <w:t xml:space="preserve"> </w:t>
      </w:r>
      <w:r>
        <w:t xml:space="preserve">begin to develop 6–10 months prior to the appearance of inflorescences. Adverse conditions during the 6 months following initiation, rather than the months when inflorescences are starting expand, leads to the aborted production of flowering shoots</w:t>
      </w:r>
      <w:r>
        <w:t xml:space="preserve"> </w:t>
      </w:r>
      <w:r>
        <w:t xml:space="preserve">(Criley &amp; Lekawatana, 1994)</w:t>
      </w:r>
      <w:r>
        <w:t xml:space="preserve">. Interestingly, we observed the opposite effect—drought conditions increased the probability of flowering two years later. 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 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 This may be why drought led to delayed increases in growth—by shedding shoots and leaves</w:t>
      </w:r>
      <w:r>
        <w:t xml:space="preserve"> </w:t>
      </w:r>
      <w:r>
        <w:t xml:space="preserve">(E. M. Bruna et al., 2002)</w:t>
      </w:r>
      <w:r>
        <w:t xml:space="preserve"> </w:t>
      </w:r>
      <w:r>
        <w:t xml:space="preserve">and investing in rhizomes, plants are generating proportionately more buds with which to regenerate when conditions improve. 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(E. M. 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 For example, topical trees may not die until three or more years after a drought</w:t>
      </w:r>
      <w:r>
        <w:t xml:space="preserve"> </w:t>
      </w:r>
      <w:r>
        <w:t xml:space="preserve">(Criley &amp; Lekawatana, 1994)</w:t>
      </w:r>
      <w:r>
        <w:t xml:space="preserve">. 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(Emilio M. Bruna &amp; Oli, 2005)</w:t>
      </w:r>
      <w:r>
        <w:t xml:space="preserve">. Similar delayed changes in the local environment could also influence the foraging behavior of a plant’s pollinators</w:t>
      </w:r>
      <w:r>
        <w:t xml:space="preserve"> </w:t>
      </w:r>
      <w:r>
        <w:t xml:space="preserve">(E. M. Bruna et al., 2004; Stouffer &amp; Bierregaard, 1996)</w:t>
      </w:r>
      <w:r>
        <w:t xml:space="preserve">, seed dispersers</w:t>
      </w:r>
      <w:r>
        <w:t xml:space="preserve"> </w:t>
      </w:r>
      <w:r>
        <w:t xml:space="preserve">(María Uriarte et al., 2011)</w:t>
      </w:r>
      <w:r>
        <w:t xml:space="preserve">, or herbivores</w:t>
      </w:r>
      <w:r>
        <w:t xml:space="preserve"> </w:t>
      </w:r>
      <w:r>
        <w:t xml:space="preserve">(Scott et al., 2021)</w:t>
      </w:r>
      <w:r>
        <w:t xml:space="preserve">. 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rPr>
          <w:bCs/>
          <w:b/>
        </w:rPr>
        <w:t xml:space="preserve">(CITATIONS)</w:t>
      </w:r>
      <w:r>
        <w:t xml:space="preserve"> </w:t>
      </w:r>
      <w:r>
        <w:t xml:space="preserve"> </w:t>
      </w:r>
      <w:r>
        <w:t xml:space="preserve">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 Our results support the hypothesis that populations in fragments could be more susceptible to the effects of changing climate than those in continuous forest</w:t>
      </w:r>
      <w:r>
        <w:t xml:space="preserve"> </w:t>
      </w:r>
      <w:r>
        <w:t xml:space="preserve">(W. F. Laurance et al., 2014)</w:t>
      </w:r>
      <w:r>
        <w:t xml:space="preserve">. However, they also indicate that the demographic responses to climate change of populations in fragmented landscapes may be far more complex than previously appreciated. Multi-factorial, multi-season experiments</w:t>
      </w:r>
      <w:r>
        <w:t xml:space="preserve"> </w:t>
      </w:r>
      <w:r>
        <w:t xml:space="preserve">(Aguirre et al., 2021;</w:t>
      </w:r>
      <w:r>
        <w:t xml:space="preserve"> </w:t>
      </w:r>
      <w:r>
        <w:rPr>
          <w:iCs/>
          <w:i/>
        </w:rPr>
        <w:t xml:space="preserve">sensu</w:t>
      </w:r>
      <w:r>
        <w:t xml:space="preserve"> </w:t>
      </w:r>
      <w:r>
        <w:t xml:space="preserve">E. M.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 Also needed are statistical tools that can test for synergistic effects of fragmentation and climate in vital rates, as those currently available do not allow for including interaction terms. This also limits the ability to include size by climate interactions in a DLNM; although plant responses to both fragmentation and climatic extremes can be size-specific</w:t>
      </w:r>
      <w:r>
        <w:t xml:space="preserve"> </w:t>
      </w:r>
      <w:r>
        <w:t xml:space="preserve">(Emilio M. 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 Unfortunately, long-term data monitoring the entire life-cycle of tropical taxa are rare, and those doing so in fragmented landscapes are virtually nonexistent</w:t>
      </w:r>
      <w:r>
        <w:t xml:space="preserve"> </w:t>
      </w:r>
      <w:r>
        <w:t xml:space="preserve">(E. M. 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_t+1_ / size_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(log2(size_t+1_ / size_t))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83" w:name="references"/>
    <w:p>
      <w:pPr>
        <w:pStyle w:val="Heading1"/>
      </w:pPr>
      <w:r>
        <w:t xml:space="preserve">References</w:t>
      </w:r>
    </w:p>
    <w:bookmarkStart w:id="282"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Emilio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Emilio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91">
        <w:r>
          <w:rPr>
            <w:rStyle w:val="Hyperlink"/>
          </w:rPr>
          <w:t xml:space="preserve">https://doi.org/10.1038/nclimate2100</w:t>
        </w:r>
      </w:hyperlink>
    </w:p>
    <w:bookmarkEnd w:id="92"/>
    <w:bookmarkStart w:id="9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3">
        <w:r>
          <w:rPr>
            <w:rStyle w:val="Hyperlink"/>
          </w:rPr>
          <w:t xml:space="preserve">https://doi.org/10.1139/x90-084</w:t>
        </w:r>
      </w:hyperlink>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0"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10"/>
    <w:bookmarkStart w:id="112"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1">
        <w:r>
          <w:rPr>
            <w:rStyle w:val="Hyperlink"/>
          </w:rPr>
          <w:t xml:space="preserve">https://doi.org/10.1016/j.tree.2013.06.010</w:t>
        </w:r>
      </w:hyperlink>
    </w:p>
    <w:bookmarkEnd w:id="112"/>
    <w:bookmarkStart w:id="114"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3">
        <w:r>
          <w:rPr>
            <w:rStyle w:val="Hyperlink"/>
          </w:rPr>
          <w:t xml:space="preserve">https://doi.org/10.1073/pnas.1421010112</w:t>
        </w:r>
      </w:hyperlink>
    </w:p>
    <w:bookmarkEnd w:id="114"/>
    <w:bookmarkStart w:id="116"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5">
        <w:r>
          <w:rPr>
            <w:rStyle w:val="Hyperlink"/>
          </w:rPr>
          <w:t xml:space="preserve">https://doi.org/10.1111/j.1744-7429.2006.00098.x</w:t>
        </w:r>
      </w:hyperlink>
    </w:p>
    <w:bookmarkEnd w:id="116"/>
    <w:bookmarkStart w:id="118"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7">
        <w:r>
          <w:rPr>
            <w:rStyle w:val="Hyperlink"/>
          </w:rPr>
          <w:t xml:space="preserve">https://doi.org/10.1111/1365-2745.12523</w:t>
        </w:r>
      </w:hyperlink>
    </w:p>
    <w:bookmarkEnd w:id="118"/>
    <w:bookmarkStart w:id="119"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9"/>
    <w:bookmarkStart w:id="121"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0">
        <w:r>
          <w:rPr>
            <w:rStyle w:val="Hyperlink"/>
          </w:rPr>
          <w:t xml:space="preserve">https://doi.org/10.1111/gcb.14413</w:t>
        </w:r>
      </w:hyperlink>
    </w:p>
    <w:bookmarkEnd w:id="121"/>
    <w:bookmarkStart w:id="123"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2">
        <w:r>
          <w:rPr>
            <w:rStyle w:val="Hyperlink"/>
          </w:rPr>
          <w:t xml:space="preserve">https://doi.org/10.1111/nph.17005</w:t>
        </w:r>
      </w:hyperlink>
    </w:p>
    <w:bookmarkEnd w:id="123"/>
    <w:bookmarkStart w:id="125"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4">
        <w:r>
          <w:rPr>
            <w:rStyle w:val="Hyperlink"/>
          </w:rPr>
          <w:t xml:space="preserve">https://doi.org/10.1111/gcb.15519</w:t>
        </w:r>
      </w:hyperlink>
    </w:p>
    <w:bookmarkEnd w:id="125"/>
    <w:bookmarkStart w:id="127"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6">
        <w:r>
          <w:rPr>
            <w:rStyle w:val="Hyperlink"/>
          </w:rPr>
          <w:t xml:space="preserve">https://doi.org/10.1371/journal.pone.0058093</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40">
        <w:r>
          <w:rPr>
            <w:rStyle w:val="Hyperlink"/>
          </w:rPr>
          <w:t xml:space="preserve">https://doi.org/10.1038/ngeo2382</w:t>
        </w:r>
      </w:hyperlink>
    </w:p>
    <w:bookmarkEnd w:id="141"/>
    <w:bookmarkStart w:id="143"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2">
        <w:r>
          <w:rPr>
            <w:rStyle w:val="Hyperlink"/>
          </w:rPr>
          <w:t xml:space="preserve">https://doi.org/10.1126/sciadv.1500052</w:t>
        </w:r>
      </w:hyperlink>
    </w:p>
    <w:bookmarkEnd w:id="143"/>
    <w:bookmarkStart w:id="145"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4">
        <w:r>
          <w:rPr>
            <w:rStyle w:val="Hyperlink"/>
          </w:rPr>
          <w:t xml:space="preserve">https://doi.org/10.1111/j.1365-3040.1996.tb00002.x</w:t>
        </w:r>
      </w:hyperlink>
    </w:p>
    <w:bookmarkEnd w:id="145"/>
    <w:bookmarkStart w:id="147"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6">
        <w:r>
          <w:rPr>
            <w:rStyle w:val="Hyperlink"/>
          </w:rPr>
          <w:t xml:space="preserve">https://doi.org/10.1111/1749-4877.12167</w:t>
        </w:r>
      </w:hyperlink>
    </w:p>
    <w:bookmarkEnd w:id="147"/>
    <w:bookmarkStart w:id="149"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8">
        <w:r>
          <w:rPr>
            <w:rStyle w:val="Hyperlink"/>
          </w:rPr>
          <w:t xml:space="preserve">https://doi.org/10.2307/1941152</w:t>
        </w:r>
      </w:hyperlink>
    </w:p>
    <w:bookmarkEnd w:id="149"/>
    <w:bookmarkStart w:id="151"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50">
        <w:r>
          <w:rPr>
            <w:rStyle w:val="Hyperlink"/>
          </w:rPr>
          <w:t xml:space="preserve">https://doi.org/10.1029/2005GL025583</w:t>
        </w:r>
      </w:hyperlink>
    </w:p>
    <w:bookmarkEnd w:id="151"/>
    <w:bookmarkStart w:id="153"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52">
        <w:r>
          <w:rPr>
            <w:rStyle w:val="Hyperlink"/>
          </w:rPr>
          <w:t xml:space="preserve">https://doi.org/10.5194/bg-2021-30</w:t>
        </w:r>
      </w:hyperlink>
    </w:p>
    <w:bookmarkEnd w:id="153"/>
    <w:bookmarkStart w:id="155"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4">
        <w:r>
          <w:rPr>
            <w:rStyle w:val="Hyperlink"/>
          </w:rPr>
          <w:t xml:space="preserve">https://doi.org/10.1088/1748-9326/9/12/124021</w:t>
        </w:r>
      </w:hyperlink>
    </w:p>
    <w:bookmarkEnd w:id="155"/>
    <w:bookmarkStart w:id="15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6">
        <w:r>
          <w:rPr>
            <w:rStyle w:val="Hyperlink"/>
          </w:rPr>
          <w:t xml:space="preserve">https://doi.org/10.1111/ele.13485</w:t>
        </w:r>
      </w:hyperlink>
    </w:p>
    <w:bookmarkEnd w:id="157"/>
    <w:bookmarkStart w:id="15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8">
        <w:r>
          <w:rPr>
            <w:rStyle w:val="Hyperlink"/>
          </w:rPr>
          <w:t xml:space="preserve">https://doi.org/10.1111/1365-2435.13145</w:t>
        </w:r>
      </w:hyperlink>
    </w:p>
    <w:bookmarkEnd w:id="159"/>
    <w:bookmarkStart w:id="160"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60"/>
    <w:bookmarkStart w:id="162"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1">
        <w:r>
          <w:rPr>
            <w:rStyle w:val="Hyperlink"/>
          </w:rPr>
          <w:t xml:space="preserve">https://doi.org/10.1890/14-0330.1</w:t>
        </w:r>
      </w:hyperlink>
    </w:p>
    <w:bookmarkEnd w:id="162"/>
    <w:bookmarkStart w:id="163"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3"/>
    <w:bookmarkStart w:id="165" w:name="ref-laurance2006"/>
    <w:p>
      <w:pPr>
        <w:pStyle w:val="Bibliography"/>
      </w:pPr>
      <w:r>
        <w:t xml:space="preserve">Laurance, William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4">
        <w:r>
          <w:rPr>
            <w:rStyle w:val="Hyperlink"/>
          </w:rPr>
          <w:t xml:space="preserve">https://doi.org/10.1073/pnas.0609048103</w:t>
        </w:r>
      </w:hyperlink>
    </w:p>
    <w:bookmarkEnd w:id="165"/>
    <w:bookmarkStart w:id="167"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6">
        <w:r>
          <w:rPr>
            <w:rStyle w:val="Hyperlink"/>
          </w:rPr>
          <w:t xml:space="preserve">https://doi.org/10.1046/j.1523-1739.2001.01093.x</w:t>
        </w:r>
      </w:hyperlink>
    </w:p>
    <w:bookmarkEnd w:id="167"/>
    <w:bookmarkStart w:id="168"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8"/>
    <w:bookmarkStart w:id="170"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9">
        <w:r>
          <w:rPr>
            <w:rStyle w:val="Hyperlink"/>
          </w:rPr>
          <w:t xml:space="preserve">https://doi.org/10.1111/nph.15110</w:t>
        </w:r>
      </w:hyperlink>
    </w:p>
    <w:bookmarkEnd w:id="170"/>
    <w:bookmarkStart w:id="172"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1">
        <w:r>
          <w:rPr>
            <w:rStyle w:val="Hyperlink"/>
          </w:rPr>
          <w:t xml:space="preserve">https://doi.org/10.1175/2007JCLI1600.1</w:t>
        </w:r>
      </w:hyperlink>
    </w:p>
    <w:bookmarkEnd w:id="172"/>
    <w:bookmarkStart w:id="174"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3">
        <w:r>
          <w:rPr>
            <w:rStyle w:val="Hyperlink"/>
          </w:rPr>
          <w:t xml:space="preserve">https://doi.org/10.1111/j.1469-8137.2010.03391.x</w:t>
        </w:r>
      </w:hyperlink>
    </w:p>
    <w:bookmarkEnd w:id="174"/>
    <w:bookmarkStart w:id="176"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5">
        <w:r>
          <w:rPr>
            <w:rStyle w:val="Hyperlink"/>
          </w:rPr>
          <w:t xml:space="preserve">https://doi.org/10.1016/j.csda.2011.02.004</w:t>
        </w:r>
      </w:hyperlink>
    </w:p>
    <w:bookmarkEnd w:id="176"/>
    <w:bookmarkStart w:id="177"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7"/>
    <w:bookmarkStart w:id="179"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8">
        <w:r>
          <w:rPr>
            <w:rStyle w:val="Hyperlink"/>
          </w:rPr>
          <w:t xml:space="preserve">https://doi.org/10.1038/19193</w:t>
        </w:r>
      </w:hyperlink>
    </w:p>
    <w:bookmarkEnd w:id="179"/>
    <w:bookmarkStart w:id="181"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0">
        <w:r>
          <w:rPr>
            <w:rStyle w:val="Hyperlink"/>
          </w:rPr>
          <w:t xml:space="preserve">https://doi.org/10.1002/ecs2.1708</w:t>
        </w:r>
      </w:hyperlink>
    </w:p>
    <w:bookmarkEnd w:id="181"/>
    <w:bookmarkStart w:id="183"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82">
        <w:r>
          <w:rPr>
            <w:rStyle w:val="Hyperlink"/>
          </w:rPr>
          <w:t xml:space="preserve">https://doi.org/10.1038/nature12540</w:t>
        </w:r>
      </w:hyperlink>
    </w:p>
    <w:bookmarkEnd w:id="183"/>
    <w:bookmarkStart w:id="184"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4"/>
    <w:bookmarkStart w:id="186" w:name="ref-morrisLongevityCanBuffer2008"/>
    <w:p>
      <w:pPr>
        <w:pStyle w:val="Bibliography"/>
      </w:pPr>
      <w:r>
        <w:t xml:space="preserve">Morris, William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5">
        <w:r>
          <w:rPr>
            <w:rStyle w:val="Hyperlink"/>
          </w:rPr>
          <w:t xml:space="preserve">https://doi.org/10.1890/07-0774.1</w:t>
        </w:r>
      </w:hyperlink>
    </w:p>
    <w:bookmarkEnd w:id="186"/>
    <w:bookmarkStart w:id="188"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87">
        <w:r>
          <w:rPr>
            <w:rStyle w:val="Hyperlink"/>
          </w:rPr>
          <w:t xml:space="preserve">https://doi.org/10.1007/BF00320821</w:t>
        </w:r>
      </w:hyperlink>
    </w:p>
    <w:bookmarkEnd w:id="188"/>
    <w:bookmarkStart w:id="190"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9">
        <w:r>
          <w:rPr>
            <w:rStyle w:val="Hyperlink"/>
          </w:rPr>
          <w:t xml:space="preserve">https://doi.org/10.1007/978-1-4613-1163-8_7</w:t>
        </w:r>
      </w:hyperlink>
    </w:p>
    <w:bookmarkEnd w:id="190"/>
    <w:bookmarkStart w:id="19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91"/>
    <w:bookmarkStart w:id="19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92">
        <w:r>
          <w:rPr>
            <w:rStyle w:val="Hyperlink"/>
          </w:rPr>
          <w:t xml:space="preserve">https://doi.org/10.1016/j.foreco.2003.10.013</w:t>
        </w:r>
      </w:hyperlink>
    </w:p>
    <w:bookmarkEnd w:id="193"/>
    <w:bookmarkStart w:id="19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94">
        <w:r>
          <w:rPr>
            <w:rStyle w:val="Hyperlink"/>
          </w:rPr>
          <w:t xml:space="preserve">https://doi.org/10.9735/0975-3710.10.3.5137-5139</w:t>
        </w:r>
      </w:hyperlink>
    </w:p>
    <w:bookmarkEnd w:id="195"/>
    <w:bookmarkStart w:id="19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6">
        <w:r>
          <w:rPr>
            <w:rStyle w:val="Hyperlink"/>
          </w:rPr>
          <w:t xml:space="preserve">https://doi.org/10.1111/ele.12399</w:t>
        </w:r>
      </w:hyperlink>
    </w:p>
    <w:bookmarkEnd w:id="197"/>
    <w:bookmarkStart w:id="19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8">
        <w:r>
          <w:rPr>
            <w:rStyle w:val="Hyperlink"/>
          </w:rPr>
          <w:t xml:space="preserve">https://doi.org/10.1038/nclimate2746</w:t>
        </w:r>
      </w:hyperlink>
    </w:p>
    <w:bookmarkEnd w:id="199"/>
    <w:bookmarkStart w:id="20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200"/>
    <w:bookmarkStart w:id="20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201">
        <w:r>
          <w:rPr>
            <w:rStyle w:val="Hyperlink"/>
          </w:rPr>
          <w:t xml:space="preserve">https://doi.org/10.1111/1365-2656.13467</w:t>
        </w:r>
      </w:hyperlink>
    </w:p>
    <w:bookmarkEnd w:id="202"/>
    <w:bookmarkStart w:id="20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203"/>
    <w:bookmarkStart w:id="20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4">
        <w:r>
          <w:rPr>
            <w:rStyle w:val="Hyperlink"/>
          </w:rPr>
          <w:t xml:space="preserve">https://doi.org/10.1111/j.1469-8137.2010.03359.x</w:t>
        </w:r>
      </w:hyperlink>
    </w:p>
    <w:bookmarkEnd w:id="205"/>
    <w:bookmarkStart w:id="20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6">
        <w:r>
          <w:rPr>
            <w:rStyle w:val="Hyperlink"/>
          </w:rPr>
          <w:t xml:space="preserve">https://doi.org/10.1016/j.ecoinf.2020.101178</w:t>
        </w:r>
      </w:hyperlink>
    </w:p>
    <w:bookmarkEnd w:id="207"/>
    <w:bookmarkStart w:id="20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8">
        <w:r>
          <w:rPr>
            <w:rStyle w:val="Hyperlink"/>
          </w:rPr>
          <w:t xml:space="preserve">https://doi.org/10.1007/s11240-012-0160-7</w:t>
        </w:r>
      </w:hyperlink>
    </w:p>
    <w:bookmarkEnd w:id="209"/>
    <w:bookmarkStart w:id="21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0"/>
    <w:bookmarkStart w:id="21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1">
        <w:r>
          <w:rPr>
            <w:rStyle w:val="Hyperlink"/>
          </w:rPr>
          <w:t xml:space="preserve">https://doi.org/10.1590/1809-43921992224534</w:t>
        </w:r>
      </w:hyperlink>
    </w:p>
    <w:bookmarkEnd w:id="212"/>
    <w:bookmarkStart w:id="21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3"/>
    <w:bookmarkStart w:id="21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4">
        <w:r>
          <w:rPr>
            <w:rStyle w:val="Hyperlink"/>
          </w:rPr>
          <w:t xml:space="preserve">https://doi.org/10.7717/peerj.9958</w:t>
        </w:r>
      </w:hyperlink>
    </w:p>
    <w:bookmarkEnd w:id="215"/>
    <w:bookmarkStart w:id="21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6">
        <w:r>
          <w:rPr>
            <w:rStyle w:val="Hyperlink"/>
          </w:rPr>
          <w:t xml:space="preserve">https://doi.org/10.1017/S0266467498000571</w:t>
        </w:r>
      </w:hyperlink>
    </w:p>
    <w:bookmarkEnd w:id="217"/>
    <w:bookmarkStart w:id="21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8">
        <w:r>
          <w:rPr>
            <w:rStyle w:val="Hyperlink"/>
          </w:rPr>
          <w:t xml:space="preserve">https://doi.org/10.1111/1365-2745.12334</w:t>
        </w:r>
      </w:hyperlink>
    </w:p>
    <w:bookmarkEnd w:id="219"/>
    <w:bookmarkStart w:id="221"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0">
        <w:r>
          <w:rPr>
            <w:rStyle w:val="Hyperlink"/>
          </w:rPr>
          <w:t xml:space="preserve">https://doi.org/10.1046/j.1365-2745.1999.00332.x</w:t>
        </w:r>
      </w:hyperlink>
    </w:p>
    <w:bookmarkEnd w:id="221"/>
    <w:bookmarkStart w:id="223"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2">
        <w:r>
          <w:rPr>
            <w:rStyle w:val="Hyperlink"/>
          </w:rPr>
          <w:t xml:space="preserve">https://doi.org/10.1111/btp.12355</w:t>
        </w:r>
      </w:hyperlink>
    </w:p>
    <w:bookmarkEnd w:id="223"/>
    <w:bookmarkStart w:id="225"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4">
        <w:r>
          <w:rPr>
            <w:rStyle w:val="Hyperlink"/>
          </w:rPr>
          <w:t xml:space="preserve">https://doi.org/10.1038/nature23021</w:t>
        </w:r>
      </w:hyperlink>
    </w:p>
    <w:bookmarkEnd w:id="225"/>
    <w:bookmarkStart w:id="227"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6">
        <w:r>
          <w:rPr>
            <w:rStyle w:val="Hyperlink"/>
          </w:rPr>
          <w:t xml:space="preserve">https://doi.org/10.1002/ecy.2677</w:t>
        </w:r>
      </w:hyperlink>
    </w:p>
    <w:bookmarkEnd w:id="227"/>
    <w:bookmarkStart w:id="229"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8">
        <w:r>
          <w:rPr>
            <w:rStyle w:val="Hyperlink"/>
          </w:rPr>
          <w:t xml:space="preserve">https://doi.org/10.1111/een.13023</w:t>
        </w:r>
      </w:hyperlink>
    </w:p>
    <w:bookmarkEnd w:id="229"/>
    <w:bookmarkStart w:id="231"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0">
        <w:r>
          <w:rPr>
            <w:rStyle w:val="Hyperlink"/>
          </w:rPr>
          <w:t xml:space="preserve">https://doi.org/10.1111/brv.12136</w:t>
        </w:r>
      </w:hyperlink>
    </w:p>
    <w:bookmarkEnd w:id="231"/>
    <w:bookmarkStart w:id="233"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32">
        <w:r>
          <w:rPr>
            <w:rStyle w:val="Hyperlink"/>
          </w:rPr>
          <w:t xml:space="preserve">https://doi.org/10.1007/s10722-005-5725-4</w:t>
        </w:r>
      </w:hyperlink>
    </w:p>
    <w:bookmarkEnd w:id="233"/>
    <w:bookmarkStart w:id="235"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4">
        <w:r>
          <w:rPr>
            <w:rStyle w:val="Hyperlink"/>
          </w:rPr>
          <w:t xml:space="preserve">https://doi.org/10.1038/s41559-020-01368-x</w:t>
        </w:r>
      </w:hyperlink>
    </w:p>
    <w:bookmarkEnd w:id="235"/>
    <w:bookmarkStart w:id="237"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6">
        <w:r>
          <w:rPr>
            <w:rStyle w:val="Hyperlink"/>
          </w:rPr>
          <w:t xml:space="preserve">https://doi.org/10.1111/j.1365-2745.2005.01008.x</w:t>
        </w:r>
      </w:hyperlink>
    </w:p>
    <w:bookmarkEnd w:id="237"/>
    <w:bookmarkStart w:id="239"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8">
        <w:r>
          <w:rPr>
            <w:rStyle w:val="Hyperlink"/>
          </w:rPr>
          <w:t xml:space="preserve">https://doi.org/10.2307/2387865</w:t>
        </w:r>
      </w:hyperlink>
    </w:p>
    <w:bookmarkEnd w:id="239"/>
    <w:bookmarkStart w:id="24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0">
        <w:r>
          <w:rPr>
            <w:rStyle w:val="Hyperlink"/>
          </w:rPr>
          <w:t xml:space="preserve">https://doi.org/10.2307/1934961</w:t>
        </w:r>
      </w:hyperlink>
    </w:p>
    <w:bookmarkEnd w:id="241"/>
    <w:bookmarkStart w:id="242"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2"/>
    <w:bookmarkStart w:id="244"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43">
        <w:r>
          <w:rPr>
            <w:rStyle w:val="Hyperlink"/>
          </w:rPr>
          <w:t xml:space="preserve">https://doi.org/10.1038/nature25508</w:t>
        </w:r>
      </w:hyperlink>
    </w:p>
    <w:bookmarkEnd w:id="244"/>
    <w:bookmarkStart w:id="246"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5">
        <w:r>
          <w:rPr>
            <w:rStyle w:val="Hyperlink"/>
          </w:rPr>
          <w:t xml:space="preserve">https://doi.org/10.1111/2041-210X.12486</w:t>
        </w:r>
      </w:hyperlink>
    </w:p>
    <w:bookmarkEnd w:id="246"/>
    <w:bookmarkStart w:id="248"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7">
        <w:r>
          <w:rPr>
            <w:rStyle w:val="Hyperlink"/>
          </w:rPr>
          <w:t xml:space="preserve">https://doi.org/10.1002/ecy.2163</w:t>
        </w:r>
      </w:hyperlink>
    </w:p>
    <w:bookmarkEnd w:id="248"/>
    <w:bookmarkStart w:id="250"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9">
        <w:r>
          <w:rPr>
            <w:rStyle w:val="Hyperlink"/>
          </w:rPr>
          <w:t xml:space="preserve">https://doi.org/10.1111/j.1744-7429.2003.tb00278.x</w:t>
        </w:r>
      </w:hyperlink>
    </w:p>
    <w:bookmarkEnd w:id="250"/>
    <w:bookmarkStart w:id="252"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1">
        <w:r>
          <w:rPr>
            <w:rStyle w:val="Hyperlink"/>
          </w:rPr>
          <w:t xml:space="preserve">https://doi.org/10.1890/10-0709.1</w:t>
        </w:r>
      </w:hyperlink>
    </w:p>
    <w:bookmarkEnd w:id="252"/>
    <w:bookmarkStart w:id="254" w:name="Xe41534ce2b5b4872638437400c0ba46f5979352"/>
    <w:p>
      <w:pPr>
        <w:pStyle w:val="Bibliography"/>
      </w:pPr>
      <w:r>
        <w:t xml:space="preserve">Uriarte, María,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53">
        <w:r>
          <w:rPr>
            <w:rStyle w:val="Hyperlink"/>
          </w:rPr>
          <w:t xml:space="preserve">https://doi.org/10.1890/09-0785.1</w:t>
        </w:r>
      </w:hyperlink>
    </w:p>
    <w:bookmarkEnd w:id="254"/>
    <w:bookmarkStart w:id="256"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55">
        <w:r>
          <w:rPr>
            <w:rStyle w:val="Hyperlink"/>
          </w:rPr>
          <w:t xml:space="preserve">https://doi.org/10.1111/gcb.14000</w:t>
        </w:r>
      </w:hyperlink>
    </w:p>
    <w:bookmarkEnd w:id="256"/>
    <w:bookmarkStart w:id="258" w:name="ref-uriarteImpactsClimateVariability2016"/>
    <w:p>
      <w:pPr>
        <w:pStyle w:val="Bibliography"/>
      </w:pPr>
      <w:r>
        <w:t xml:space="preserve">Uriarte, María,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7">
        <w:r>
          <w:rPr>
            <w:rStyle w:val="Hyperlink"/>
          </w:rPr>
          <w:t xml:space="preserve">https://doi.org/10.1111/btp.12380</w:t>
        </w:r>
      </w:hyperlink>
    </w:p>
    <w:bookmarkEnd w:id="258"/>
    <w:bookmarkStart w:id="26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9">
        <w:r>
          <w:rPr>
            <w:rStyle w:val="Hyperlink"/>
          </w:rPr>
          <w:t xml:space="preserve">https://doi.org/10.1890/03-5093</w:t>
        </w:r>
      </w:hyperlink>
    </w:p>
    <w:bookmarkEnd w:id="260"/>
    <w:bookmarkStart w:id="26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61">
        <w:r>
          <w:rPr>
            <w:rStyle w:val="Hyperlink"/>
          </w:rPr>
          <w:t xml:space="preserve">https://doi.org/10.1175/2009JCLI2909.1</w:t>
        </w:r>
      </w:hyperlink>
    </w:p>
    <w:bookmarkEnd w:id="262"/>
    <w:bookmarkStart w:id="264"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63">
        <w:r>
          <w:rPr>
            <w:rStyle w:val="Hyperlink"/>
          </w:rPr>
          <w:t xml:space="preserve">https://doi.org/10.3732/ajb.1500041</w:t>
        </w:r>
      </w:hyperlink>
    </w:p>
    <w:bookmarkEnd w:id="264"/>
    <w:bookmarkStart w:id="266"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5">
        <w:r>
          <w:rPr>
            <w:rStyle w:val="Hyperlink"/>
          </w:rPr>
          <w:t xml:space="preserve">https://doi.org/10.1111/1365-2745.12757</w:t>
        </w:r>
      </w:hyperlink>
    </w:p>
    <w:bookmarkEnd w:id="266"/>
    <w:bookmarkStart w:id="268"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7">
        <w:r>
          <w:rPr>
            <w:rStyle w:val="Hyperlink"/>
          </w:rPr>
          <w:t xml:space="preserve">https://doi.org/10.1111/1365-2745.12369</w:t>
        </w:r>
      </w:hyperlink>
    </w:p>
    <w:bookmarkEnd w:id="268"/>
    <w:bookmarkStart w:id="270"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9">
        <w:r>
          <w:rPr>
            <w:rStyle w:val="Hyperlink"/>
          </w:rPr>
          <w:t xml:space="preserve">https://doi.org/10.1046/j.1523-1739.2000.99298.x</w:t>
        </w:r>
      </w:hyperlink>
    </w:p>
    <w:bookmarkEnd w:id="270"/>
    <w:bookmarkStart w:id="271"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1"/>
    <w:bookmarkStart w:id="273"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72">
        <w:r>
          <w:rPr>
            <w:rStyle w:val="Hyperlink"/>
          </w:rPr>
          <w:t xml:space="preserve">https://doi.org/10.1016/0169-5347(92)90171-7</w:t>
        </w:r>
      </w:hyperlink>
    </w:p>
    <w:bookmarkEnd w:id="273"/>
    <w:bookmarkStart w:id="275"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4">
        <w:r>
          <w:rPr>
            <w:rStyle w:val="Hyperlink"/>
          </w:rPr>
          <w:t xml:space="preserve">https://doi.org/10.1111/j.1461-0248.2005.00851.x</w:t>
        </w:r>
      </w:hyperlink>
    </w:p>
    <w:bookmarkEnd w:id="275"/>
    <w:bookmarkStart w:id="276"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6"/>
    <w:bookmarkStart w:id="278"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7">
        <w:r>
          <w:rPr>
            <w:rStyle w:val="Hyperlink"/>
          </w:rPr>
          <w:t xml:space="preserve">https://doi.org/10.1002/joc.4518</w:t>
        </w:r>
      </w:hyperlink>
    </w:p>
    <w:bookmarkEnd w:id="278"/>
    <w:bookmarkStart w:id="279"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9"/>
    <w:bookmarkStart w:id="281"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0">
        <w:r>
          <w:rPr>
            <w:rStyle w:val="Hyperlink"/>
          </w:rPr>
          <w:t xml:space="preserve">https://doi.org/10.1088/1748-9326/3/1/014002</w:t>
        </w:r>
      </w:hyperlink>
    </w:p>
    <w:bookmarkEnd w:id="281"/>
    <w:bookmarkEnd w:id="282"/>
    <w:p>
      <w:r>
        <w:br w:type="page"/>
      </w:r>
    </w:p>
    <w:bookmarkEnd w:id="283"/>
    <w:bookmarkStart w:id="284"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(E. M. 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84"/>
    <w:bookmarkStart w:id="286"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85" w:name="colophon"/>
    <w:p>
      <w:pPr>
        <w:pStyle w:val="Heading3"/>
      </w:pPr>
      <w:r>
        <w:t xml:space="preserve">Colophon</w:t>
      </w:r>
    </w:p>
    <w:p>
      <w:pPr>
        <w:pStyle w:val="FirstParagraph"/>
      </w:pPr>
      <w:r>
        <w:t xml:space="preserve">This report was generated on 2021-05-24 14:48:19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2021-05-24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bayestestR     0.9.0      2021-04-08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effectsize     0.4.4-1    2021-04-05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flextable    * 0.6.5      2021-04-11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gdtools        0.2.3      2021-01-06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ggrepel        0.9.1      2021-01-15 [?]</w:t>
      </w:r>
      <w:r>
        <w:br/>
      </w:r>
      <w:r>
        <w:rPr>
          <w:rStyle w:val="VerbatimChar"/>
        </w:rPr>
        <w:t xml:space="preserve">#&gt;  P ggridges       0.5.3      2021-01-08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insight        0.13.2     2021-04-01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officer        0.3.18     2021-04-02 [?]</w:t>
      </w:r>
      <w:r>
        <w:br/>
      </w:r>
      <w:r>
        <w:rPr>
          <w:rStyle w:val="VerbatimChar"/>
        </w:rPr>
        <w:t xml:space="preserve">#&gt;  P parameters     0.13.0     2021-04-08 [?]</w:t>
      </w:r>
      <w:r>
        <w:br/>
      </w:r>
      <w:r>
        <w:rPr>
          <w:rStyle w:val="VerbatimChar"/>
        </w:rPr>
        <w:t xml:space="preserve">#&gt;  P patchwork    * 1.1.1      2020-12-17 [?]</w:t>
      </w:r>
      <w:r>
        <w:br/>
      </w:r>
      <w:r>
        <w:rPr>
          <w:rStyle w:val="VerbatimChar"/>
        </w:rPr>
        <w:t xml:space="preserve">#&gt;  P performance  * 0.7.1      2021-04-09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plyr           1.8.6      2020-03-03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see            0.6.3      2021-04-09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systemfonts    1.0.1      2021-02-09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uuid           0.1-4      2020-02-26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P zip            2.1.1      2020-08-27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/private/var/folders/b_/2vfnxxls5vs401tmhhb3wqdh0000gp/T/RtmpU0h2yW/renv-system-library</w:t>
      </w:r>
      <w:r>
        <w:br/>
      </w:r>
      <w:r>
        <w:rPr>
          <w:rStyle w:val="VerbatimChar"/>
        </w:rPr>
        <w:t xml:space="preserve">#&gt; [3] /private/var/folders/b_/2vfnxxls5vs401tmhhb3wqdh0000gp/T/RtmpHczxre/renv-system-library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[5f6ffa9] 2021-05-24: incorporated Emilio's edits to results</w:t>
      </w:r>
    </w:p>
    <w:bookmarkEnd w:id="285"/>
    <w:bookmarkEnd w:id="28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180" Target="https://doi.org/10.1002/ecs2.1708" TargetMode="External" /><Relationship Type="http://schemas.openxmlformats.org/officeDocument/2006/relationships/hyperlink" Id="rId247" Target="https://doi.org/10.1002/ecy.2163" TargetMode="External" /><Relationship Type="http://schemas.openxmlformats.org/officeDocument/2006/relationships/hyperlink" Id="rId226"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7"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2"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2"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4" Target="https://doi.org/10.1038/nature23021" TargetMode="External" /><Relationship Type="http://schemas.openxmlformats.org/officeDocument/2006/relationships/hyperlink" Id="rId243"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4" Target="https://doi.org/10.1038/s41559-020-01368-x" TargetMode="External" /><Relationship Type="http://schemas.openxmlformats.org/officeDocument/2006/relationships/hyperlink" Id="rId220"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9"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0"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7"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5"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5"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0"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2" Target="https://doi.org/10.1111/btp.12355" TargetMode="External" /><Relationship Type="http://schemas.openxmlformats.org/officeDocument/2006/relationships/hyperlink" Id="rId257"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28"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5"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6"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4"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9"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1"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9"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3" Target="https://doi.org/10.1890/09-0785.1" TargetMode="External" /><Relationship Type="http://schemas.openxmlformats.org/officeDocument/2006/relationships/hyperlink" Id="rId251"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0"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38"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3"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ecs2.1708" TargetMode="External" /><Relationship Type="http://schemas.openxmlformats.org/officeDocument/2006/relationships/hyperlink" Id="rId247" Target="https://doi.org/10.1002/ecy.2163" TargetMode="External" /><Relationship Type="http://schemas.openxmlformats.org/officeDocument/2006/relationships/hyperlink" Id="rId226"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7"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2"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2"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4" Target="https://doi.org/10.1038/nature23021" TargetMode="External" /><Relationship Type="http://schemas.openxmlformats.org/officeDocument/2006/relationships/hyperlink" Id="rId243"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4" Target="https://doi.org/10.1038/s41559-020-01368-x" TargetMode="External" /><Relationship Type="http://schemas.openxmlformats.org/officeDocument/2006/relationships/hyperlink" Id="rId220"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9"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0"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7"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5"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5"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0"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2" Target="https://doi.org/10.1111/btp.12355" TargetMode="External" /><Relationship Type="http://schemas.openxmlformats.org/officeDocument/2006/relationships/hyperlink" Id="rId257"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28"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5"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6"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4"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9"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1"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9"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3" Target="https://doi.org/10.1890/09-0785.1" TargetMode="External" /><Relationship Type="http://schemas.openxmlformats.org/officeDocument/2006/relationships/hyperlink" Id="rId251"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0"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38"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3"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2021-05-24T18:48:24Z</dcterms:created>
  <dcterms:modified xsi:type="dcterms:W3CDTF">2021-05-24T18:48:24Z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24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