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5.png" ContentType="image/png"/>
  <Override PartName="/word/media/rId44.png" ContentType="image/png"/>
  <Override PartName="/word/media/rId42.png" ContentType="image/png"/>
  <Override PartName="/word/media/rId41.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vital</w:t>
      </w:r>
      <w:r>
        <w:t xml:space="preserve"> </w:t>
      </w:r>
      <w:r>
        <w:t xml:space="preserve">rates</w:t>
      </w:r>
      <w:r>
        <w:t xml:space="preserve"> </w:t>
      </w:r>
      <w:r>
        <w:t xml:space="preserve">lead</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Amazonian</w:t>
      </w:r>
      <w:r>
        <w:t xml:space="preserve"> </w:t>
      </w:r>
      <w:r>
        <w:t xml:space="preserve">forest</w:t>
      </w:r>
      <w:r>
        <w:t xml:space="preserve"> </w:t>
      </w:r>
      <w:r>
        <w:t xml:space="preserve">fragments</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24</w:t>
      </w:r>
      <w:r>
        <w:t xml:space="preserve"> </w:t>
      </w:r>
      <w:r>
        <w:t xml:space="preserve">August,</w:t>
      </w:r>
      <w:r>
        <w:t xml:space="preserve"> </w:t>
      </w:r>
      <w:r>
        <w:t xml:space="preserve">2021</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Amazon; delayed effects; demography; distributed lag non-linear models; drought; ENSO; habitat fragmentation;</w:t>
      </w:r>
      <w:r>
        <w:t xml:space="preserve"> </w:t>
      </w:r>
      <w:r>
        <w:rPr>
          <w:iCs/>
          <w:i/>
        </w:rPr>
        <w:t xml:space="preserve">Heliconia acuminata</w:t>
      </w:r>
      <w:r>
        <w:t xml:space="preserve">; Heliconiaceae</w:t>
      </w:r>
    </w:p>
    <w:p>
      <w:pPr>
        <w:pStyle w:val="BodyText"/>
      </w:pPr>
      <w:r>
        <w:t xml:space="preserve">Running title: Delayed effects of climate on vital rates</w:t>
      </w:r>
    </w:p>
    <w:p>
      <w:r>
        <w:br w:type="page"/>
      </w:r>
    </w:p>
    <w:bookmarkStart w:id="21" w:name="abstract"/>
    <w:p>
      <w:pPr>
        <w:pStyle w:val="Heading1"/>
      </w:pPr>
      <w:r>
        <w:t xml:space="preserve">Abstract</w:t>
      </w:r>
    </w:p>
    <w:p>
      <w:pPr>
        <w:pStyle w:val="FirstParagraph"/>
      </w:pPr>
      <w:r>
        <w:t xml:space="preserve">Deforestation often results in landscapes where remaining forest habitat is highly fragmented, with remnants of different sizes embedded in an often highly contrasting matrix.</w:t>
      </w:r>
      <w:r>
        <w:t xml:space="preserve"> </w:t>
      </w:r>
      <w:r>
        <w:t xml:space="preserve">Local extinction of species from individual fragments is common, but the demographic mechanisms underlying these extinctions are poorly understood.</w:t>
      </w:r>
      <w:r>
        <w:t xml:space="preserve"> </w:t>
      </w:r>
      <w:r>
        <w:t xml:space="preserve">It is often hypothesized that altered environmental conditions in fragments drive declines in reproduction, recruitment, or survivorship.</w:t>
      </w:r>
      <w:r>
        <w:t xml:space="preserve"> </w:t>
      </w:r>
      <w:r>
        <w:t xml:space="preserve">The Amazon basin, in addition to experiencing continuing fragmentation, is warming and experiencing changes in precipitation leading to altered frequency and intensity of droughts and unusually wet periods.</w:t>
      </w:r>
      <w:r>
        <w:t xml:space="preserve"> </w:t>
      </w:r>
      <w:r>
        <w:t xml:space="preserve">Whether plant populations in tropical forest fragments are particularly susceptible to extremes in precipitation remains unclear.</w:t>
      </w:r>
      <w:r>
        <w:t xml:space="preserve"> </w:t>
      </w:r>
      <w:r>
        <w:t xml:space="preserve">Most studies of plants in fragments are relatively short (1–6 years), focus on a single life-history stage, and often do not compare to populations in continuous forest.</w:t>
      </w:r>
      <w:r>
        <w:t xml:space="preserve"> </w:t>
      </w:r>
      <w:r>
        <w:t xml:space="preserve">Even fewer studies consider delayed effects of climate on demographic vital rates despite the importance of delayed effects in studies that consider them.</w:t>
      </w:r>
      <w:r>
        <w:t xml:space="preserve"> </w:t>
      </w:r>
      <w:r>
        <w:t xml:space="preserve">Using a decade of demographic and climate data from an experimentally fragmented landscape in the Central Amazon, we assess the effects of climate on populations of an understory herb (</w:t>
      </w:r>
      <w:r>
        <w:rPr>
          <w:iCs/>
          <w:i/>
        </w:rPr>
        <w:t xml:space="preserve">Heliconia acuminata</w:t>
      </w:r>
      <w:r>
        <w:t xml:space="preserve">, Heliconiaceae).</w:t>
      </w:r>
      <w:r>
        <w:t xml:space="preserve"> </w:t>
      </w:r>
      <w:r>
        <w:t xml:space="preserve">We used distributed lag non-linear models to understand the delayed effects of standardized precipitation evapotranspiration index (SPEI) on survival, growth, and flowering.</w:t>
      </w:r>
      <w:r>
        <w:t xml:space="preserve"> </w:t>
      </w:r>
      <w:r>
        <w:t xml:space="preserve">We detected delayed effects of climate up to 36 months.</w:t>
      </w:r>
      <w:r>
        <w:t xml:space="preserve"> </w:t>
      </w:r>
      <w:r>
        <w:t xml:space="preserve">Drought two dry seasons prior to the February census decreased survival and increased flowering probability while drought in the wet season a year prior to the census decreased flowering probability and increased growth.</w:t>
      </w:r>
      <w:r>
        <w:t xml:space="preserve"> </w:t>
      </w:r>
      <w:r>
        <w:t xml:space="preserve">The effects of extremes in precipitation on survival and growth were more pronounced in forest fragments compared to continuous forest.</w:t>
      </w:r>
      <w:r>
        <w:t xml:space="preserve"> </w:t>
      </w:r>
      <w:r>
        <w:t xml:space="preserve">The complex delayed effects of climate and habitat fragmentation in our study point to the importance of long-term demography experiments in understanding the effects of anthropogenic change on plant populations.</w:t>
      </w:r>
    </w:p>
    <w:p>
      <w:r>
        <w:br w:type="page"/>
      </w:r>
    </w:p>
    <w:bookmarkEnd w:id="21"/>
    <w:bookmarkStart w:id="22" w:name="introduction"/>
    <w:p>
      <w:pPr>
        <w:pStyle w:val="Heading1"/>
      </w:pPr>
      <w:r>
        <w:t xml:space="preserve">Introduction</w:t>
      </w:r>
    </w:p>
    <w:p>
      <w:pPr>
        <w:pStyle w:val="FirstParagraph"/>
      </w:pPr>
      <w:r>
        <w:t xml:space="preserve">The expansion of agriculture and other human activities is a primary driver of deforestation in the tropics</w:t>
      </w:r>
      <w:r>
        <w:t xml:space="preserve"> </w:t>
      </w:r>
      <w:r>
        <w:t xml:space="preserve">(Alroy, 2017; Haddad et al., 2015)</w:t>
      </w:r>
      <w:r>
        <w:t xml:space="preserve">.</w:t>
      </w:r>
      <w:r>
        <w:t xml:space="preserve"> </w:t>
      </w:r>
      <w:r>
        <w:t xml:space="preserve">It also results in landscapes where the remaining forest can be highly fragmented, with patches of different sizes embedded in a matrix of often contrasting habitat</w:t>
      </w:r>
      <w:r>
        <w:t xml:space="preserve"> </w:t>
      </w:r>
      <w:r>
        <w:t xml:space="preserve">(Bianchi &amp; Haig, 2013; Taubert et al., 2018)</w:t>
      </w:r>
      <w:r>
        <w:t xml:space="preserve">.</w:t>
      </w:r>
      <w:r>
        <w:t xml:space="preserve"> </w:t>
      </w:r>
      <w:r>
        <w:t xml:space="preserve">This fragmentation is associated with myriad ecological changes, including the local and regional extinction of plant species</w:t>
      </w:r>
      <w:r>
        <w:t xml:space="preserve"> </w:t>
      </w:r>
      <w:r>
        <w:t xml:space="preserve">(da Silva &amp; Tabarelli, 2000; Laurance et al., 2006)</w:t>
      </w:r>
      <w:r>
        <w:t xml:space="preserve">.</w:t>
      </w:r>
      <w:r>
        <w:t xml:space="preserve"> </w:t>
      </w:r>
      <w:r>
        <w:t xml:space="preserve">Although the demographic mechanisms responsible these extinctions are poorly understood</w:t>
      </w:r>
      <w:r>
        <w:t xml:space="preserve"> </w:t>
      </w:r>
      <w:r>
        <w:t xml:space="preserve">(Bruna et al., 2009)</w:t>
      </w:r>
      <w:r>
        <w:t xml:space="preserve">, it is often hypothesized that the dramatically altered environmental conditions in tropical forest fragments</w:t>
      </w:r>
      <w:r>
        <w:t xml:space="preserve"> </w:t>
      </w:r>
      <w:r>
        <w:t xml:space="preserve">(Arroyo-Rodríguez et al., 2017; Didham &amp; Lawton, 1999; Ewers &amp; Banks-Leite, 2013)</w:t>
      </w:r>
      <w:r>
        <w:t xml:space="preserve"> </w:t>
      </w:r>
      <w:r>
        <w:t xml:space="preserve">drive declines in plant reproduction, recruitment, or survivorship</w:t>
      </w:r>
      <w:r>
        <w:t xml:space="preserve"> </w:t>
      </w:r>
      <w:r>
        <w:t xml:space="preserve">(Bruna, 1999; Laurance et al., 1998; Zartman et al., 2015)</w:t>
      </w:r>
      <w:r>
        <w:t xml:space="preserve">.</w:t>
      </w:r>
      <w:r>
        <w:t xml:space="preserve"> </w:t>
      </w:r>
      <w:r>
        <w:t xml:space="preserve">Despite the prevalence of this hypothesis</w:t>
      </w:r>
      <w:r>
        <w:t xml:space="preserve"> </w:t>
      </w:r>
      <w:r>
        <w:t xml:space="preserve">(Betts et al., 2019; Didham &amp; Lawton, 1999; Laurance et al., 2001)</w:t>
      </w:r>
      <w:r>
        <w:t xml:space="preserve">, efforts to link population-level demographic responses with altered environmental conditions in fragments remains scarce.</w:t>
      </w:r>
    </w:p>
    <w:p>
      <w:pPr>
        <w:pStyle w:val="BodyText"/>
      </w:pPr>
      <w:r>
        <w:t xml:space="preserve">Studies in temperate systems have shown that the demography of species can also be altered by climate change</w:t>
      </w:r>
      <w:r>
        <w:t xml:space="preserve"> </w:t>
      </w:r>
      <w:r>
        <w:t xml:space="preserve">(Doak &amp; Morris, 2010; Selwood et al., 2015; Sletvold, 2005; Williams et al., 2015)</w:t>
      </w:r>
      <w:r>
        <w:t xml:space="preserve">, and that the effects of climate change could be more pronounced when habitat is fragmented</w:t>
      </w:r>
      <w:r>
        <w:t xml:space="preserve"> </w:t>
      </w:r>
      <w:r>
        <w:t xml:space="preserve">(Holyoak &amp; Heath, 2016; Oliver et al., 2015)</w:t>
      </w:r>
      <w:r>
        <w:t xml:space="preserve">.</w:t>
      </w:r>
      <w:r>
        <w:t xml:space="preserve"> </w:t>
      </w:r>
      <w:r>
        <w:t xml:space="preserve"> </w:t>
      </w:r>
      <w:r>
        <w:t xml:space="preserve">While the demographic consequences of climate change for tropical species are expected to be similarly severe</w:t>
      </w:r>
      <w:r>
        <w:t xml:space="preserve"> </w:t>
      </w:r>
      <w:r>
        <w:t xml:space="preserve">(Brodie et al., 2012; Scheffers et al., 2017)</w:t>
      </w:r>
      <w:r>
        <w:t xml:space="preserve">, surprisingly little is known about the responses of these species to climatic variability</w:t>
      </w:r>
      <w:r>
        <w:t xml:space="preserve"> </w:t>
      </w:r>
      <w:r>
        <w:t xml:space="preserve">(Paniw et al., 2021)</w:t>
      </w:r>
      <w:r>
        <w:t xml:space="preserve">.</w:t>
      </w:r>
      <w:r>
        <w:t xml:space="preserve"> </w:t>
      </w:r>
      <w:r>
        <w:t xml:space="preserve">Climate models predict increases in the areas of the Amazon effected by severe drought and unusual wetness by the year 2100</w:t>
      </w:r>
      <w:r>
        <w:t xml:space="preserve"> </w:t>
      </w:r>
      <w:r>
        <w:t xml:space="preserve">(Duffy et al., 2015a)</w:t>
      </w:r>
      <w:r>
        <w:t xml:space="preserve">.</w:t>
      </w:r>
      <w:r>
        <w:t xml:space="preserve"> </w:t>
      </w:r>
      <w:r>
        <w:t xml:space="preserve">Tropical plants may be particularly sensitive to climate change—they typically have narrow ranges of climatic tolerance</w:t>
      </w:r>
      <w:r>
        <w:t xml:space="preserve"> </w:t>
      </w:r>
      <w:r>
        <w:t xml:space="preserve">(Feeley et al., 2012)</w:t>
      </w:r>
      <w:r>
        <w:t xml:space="preserve">, and recent results suggest increases in the frequency and severity of extreme precipitation events (both drought and extreme wet) reduce survival and reproduction</w:t>
      </w:r>
      <w:r>
        <w:t xml:space="preserve"> </w:t>
      </w:r>
      <w:r>
        <w:t xml:space="preserve">(Esteban et al., 2021; Gaoue et al., 2019)</w:t>
      </w:r>
      <w:r>
        <w:t xml:space="preserve">.</w:t>
      </w:r>
      <w:r>
        <w:t xml:space="preserve"> </w:t>
      </w:r>
      <w:r>
        <w:t xml:space="preserve">This sensitivity to climatic fluctuations, coupled with evidence that plant growth and survivorship are lower in fragments</w:t>
      </w:r>
      <w:r>
        <w:t xml:space="preserve"> </w:t>
      </w:r>
      <w:r>
        <w:t xml:space="preserve">(Bruna et al., 2002; Laurance et al., 1998; Zartman et al., 2015)</w:t>
      </w:r>
      <w:r>
        <w:t xml:space="preserve">, has led to speculation that plants in forest fragments will be especially susceptible to climate change</w:t>
      </w:r>
      <w:r>
        <w:t xml:space="preserve"> </w:t>
      </w:r>
      <w:r>
        <w:t xml:space="preserve">(Laurance et al., 2001; Opdam &amp; Wascher, 2004; Selwood et al., 2015)</w:t>
      </w:r>
      <w:r>
        <w:t xml:space="preserve">.</w:t>
      </w:r>
    </w:p>
    <w:p>
      <w:pPr>
        <w:pStyle w:val="BodyText"/>
      </w:pPr>
      <w:r>
        <w:t xml:space="preserve">Whether the demography of plant populations in tropical forest fragments is more susceptible to climatic extremes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w:t>
      </w:r>
      <w:r>
        <w:t xml:space="preserve"> </w:t>
      </w:r>
      <w:r>
        <w:t xml:space="preserve">Second, there is a growing literature on how tropical plants respond to droughts</w:t>
      </w:r>
      <w:r>
        <w:t xml:space="preserve"> </w:t>
      </w:r>
      <w:r>
        <w:t xml:space="preserve">(Esquivel-Muelbert et al., 2019; González-M et al., 2020; Uriarte et al., 2016)</w:t>
      </w:r>
      <w:r>
        <w:t xml:space="preserve">, but few studies have compared the responses of plants in continuous forest with those of plants in forest fragments</w:t>
      </w:r>
      <w:r>
        <w:t xml:space="preserve"> </w:t>
      </w:r>
      <w:r>
        <w:t xml:space="preserve">(Laurance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Salguero-Gómez et al., 2015)</w:t>
      </w:r>
      <w:r>
        <w:t xml:space="preserve">.</w:t>
      </w:r>
      <w:r>
        <w:t xml:space="preserve"> </w:t>
      </w:r>
      <w:r>
        <w:t xml:space="preserve">These data are critical not simply because they allow for capturing variation in climatic conditions and the resulting demographic responses</w:t>
      </w:r>
      <w:r>
        <w:t xml:space="preserve"> </w:t>
      </w:r>
      <w:r>
        <w:t xml:space="preserve">(Morris &amp;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w:t>
      </w:r>
      <w:r>
        <w:rPr>
          <w:iCs/>
          <w:i/>
        </w:rPr>
        <w:t xml:space="preserve">e.g.,</w:t>
      </w:r>
      <w:r>
        <w:t xml:space="preserve"> </w:t>
      </w:r>
      <w:r>
        <w:t xml:space="preserve">Gagnon et al., 2011)</w:t>
      </w:r>
      <w:r>
        <w:t xml:space="preserve">.</w:t>
      </w:r>
      <w:r>
        <w:t xml:space="preserve"> </w:t>
      </w:r>
      <w:r>
        <w:t xml:space="preserve">Indeed, lagged responses of demographic vital rates to climate may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w:t>
      </w:r>
      <w:r>
        <w:t xml:space="preserve"> </w:t>
      </w:r>
      <w:r>
        <w:t xml:space="preserve">Nevertheless, the impacts of global change phenomena on their demography remain conspicuously understudied</w:t>
      </w:r>
      <w:r>
        <w:t xml:space="preserve"> </w:t>
      </w:r>
      <w:r>
        <w:t xml:space="preserve">(Bruna et al., 2009)</w:t>
      </w:r>
      <w:r>
        <w:t xml:space="preserve">.</w:t>
      </w:r>
      <w:r>
        <w:t xml:space="preserve"> </w:t>
      </w:r>
      <w:r>
        <w:t xml:space="preserve">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w:t>
      </w:r>
      <w:r>
        <w:t xml:space="preserve"> </w:t>
      </w:r>
      <w:r>
        <w:t xml:space="preserve">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2"/>
    <w:bookmarkStart w:id="30" w:name="methods"/>
    <w:p>
      <w:pPr>
        <w:pStyle w:val="Heading1"/>
      </w:pPr>
      <w:r>
        <w:t xml:space="preserve">Methods</w:t>
      </w:r>
    </w:p>
    <w:bookmarkStart w:id="23"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ranges from 1900–2300 mm.</w:t>
      </w:r>
      <w:r>
        <w:t xml:space="preserve"> </w:t>
      </w:r>
      <w:r>
        <w:t xml:space="preserve">There is a pronounced dry season from June to October (Figure S1</w:t>
      </w:r>
      <w:r>
        <w:t xml:space="preserve">).</w:t>
      </w:r>
    </w:p>
    <w:bookmarkEnd w:id="23"/>
    <w:bookmarkStart w:id="24"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Cs/>
          <w:i/>
        </w:rPr>
        <w:t xml:space="preserve">Heliconia</w:t>
      </w:r>
      <w:r>
        <w:t xml:space="preserve"> </w:t>
      </w:r>
      <w:r>
        <w:t xml:space="preserve">species grow in large patches in treefall gaps and other disturbed areas,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(Rundel et al., 2020)</w:t>
      </w:r>
      <w:r>
        <w:t xml:space="preserve">.</w:t>
      </w:r>
      <w:r>
        <w:t xml:space="preserve"> </w:t>
      </w:r>
      <w:r>
        <w:t xml:space="preserve">These species produce fewer inflorescences and are pollinated by traplining rather than territorial hummingbirds</w:t>
      </w:r>
      <w:r>
        <w:t xml:space="preserve"> </w:t>
      </w:r>
      <w:r>
        <w:t xml:space="preserve">(Bruna et al., 2004; Stouffer &amp; Bierregaard, 1996)</w:t>
      </w:r>
      <w:r>
        <w:t xml:space="preserve">.</w:t>
      </w:r>
      <w:r>
        <w:t xml:space="preserve"> </w:t>
      </w: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w:t>
      </w:r>
      <w:r>
        <w:t xml:space="preserve"> </w:t>
      </w:r>
      <w:r>
        <w:t xml:space="preserve">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(Uriarte et al., 2011)</w:t>
      </w:r>
      <w:r>
        <w:t xml:space="preserve">.</w:t>
      </w:r>
      <w:r>
        <w:t xml:space="preserve"> </w:t>
      </w:r>
      <w:r>
        <w:t xml:space="preserve">Dispersed seeds germinate approximately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4"/>
    <w:bookmarkStart w:id="25" w:name="demographic-data-collection"/>
    <w:p>
      <w:pPr>
        <w:pStyle w:val="Heading2"/>
      </w:pPr>
      <w:r>
        <w:t xml:space="preserve">Demographic data collection</w:t>
      </w:r>
    </w:p>
    <w:p>
      <w:pPr>
        <w:pStyle w:val="FirstParagraph"/>
      </w:pPr>
      <w:r>
        <w:t xml:space="preserve">This study uses data collected in four 1-ha fragment reserves and six continuous forest sites.</w:t>
      </w:r>
      <w:r>
        <w:t xml:space="preserve"> </w:t>
      </w:r>
      <w:r>
        <w:t xml:space="preserve">In 1997–1998 we established a 5000 m</w:t>
      </w:r>
      <w:r>
        <w:rPr>
          <w:vertAlign w:val="superscript"/>
        </w:rPr>
        <w:t xml:space="preserve">2</w:t>
      </w:r>
      <w:r>
        <w:t xml:space="preserve"> </w:t>
      </w:r>
      <w:r>
        <w:t xml:space="preserve">plots (</w:t>
      </w:r>
      <m:oMath>
        <m:r>
          <m:t>50</m:t>
        </m:r>
        <m:r>
          <m:rPr>
            <m:sty m:val="p"/>
          </m:rPr>
          <m:t>×</m:t>
        </m:r>
        <m:r>
          <m:t>100</m:t>
        </m:r>
      </m:oMath>
      <w:r>
        <w:t xml:space="preserve">m) in each of these sites in which we marked and measured all</w:t>
      </w:r>
      <w:r>
        <w:t xml:space="preserve"> </w:t>
      </w:r>
      <w:r>
        <w:rPr>
          <w:iCs/>
          <w:i/>
        </w:rPr>
        <w:t xml:space="preserve">Heliconia acuminata</w:t>
      </w:r>
      <w:r>
        <w:t xml:space="preserve">; plots in 1-ha fragments were on one randomly selected half of the fragment, while plots in continuous forest were located 500–4000 m from the borders of secondary and mature forest.</w:t>
      </w:r>
      <w:r>
        <w:t xml:space="preserve"> </w:t>
      </w:r>
      <w:r>
        <w:t xml:space="preserve">The distance between plots ranged from 500 m–41 km.</w:t>
      </w:r>
      <w:r>
        <w:t xml:space="preserve"> </w:t>
      </w:r>
      <w:r>
        <w:t xml:space="preserve">Our dataset comprised 4,886 plants in continuous forest and 1,375 plants in forest fragments.</w:t>
      </w:r>
      <w:r>
        <w:t xml:space="preserve"> </w:t>
      </w:r>
      <w:r>
        <w:t xml:space="preserve">Plots in CF had on average 2.7-fold more plants than plots in 1-ha fragments (CF = 681 ± 493 SD; 1-ha = 253 ± 30 SD).</w:t>
      </w:r>
    </w:p>
    <w:p>
      <w:pPr>
        <w:pStyle w:val="BodyText"/>
      </w:pPr>
      <w:r>
        <w:t xml:space="preserve">Each plot was subdivided into 50 quadrats (</w:t>
      </w:r>
      <m:oMath>
        <m:r>
          <m:t>10</m:t>
        </m:r>
        <m:r>
          <m:rPr>
            <m:sty m:val="p"/>
          </m:rPr>
          <m:t>×</m:t>
        </m:r>
        <m:r>
          <m:t>10</m:t>
        </m:r>
      </m:oMath>
      <w:r>
        <w:t xml:space="preserve">m) to simplify annual surveys, during which we recorded the number of vegetative shoots each plant had, the height of each plant (i.e. distance from the ground to the tallest leaf tip), and whether each plant was flowering (height and shoot number are correlated with leaf area, the probability of flowering, and rates of survivorship</w:t>
      </w:r>
      <w:r>
        <w:t xml:space="preserve"> </w:t>
      </w:r>
      <w:r>
        <w:t xml:space="preserve">(Bruna, 2002; Bruna &amp; Kress, 2002)</w:t>
      </w:r>
      <w:r>
        <w:t xml:space="preserve">. In this study, we used the product of shoot number and plant height as our measure of plant size. Preliminary analysis showed that the product of shoot number and height was a better predictor of total leaf area (which in turn is assumed to be a strong predictor of aboveground biomass) than either shoot number or height alone (Table S2</w:t>
      </w:r>
      <w:r>
        <w:t xml:space="preserve"> </w:t>
      </w:r>
      <w:r>
        <w:t xml:space="preserve">).</w:t>
      </w:r>
      <w:r>
        <w:t xml:space="preserve"> </w:t>
      </w:r>
      <w:r>
        <w:t xml:space="preserve">After the initial census year, between 80% and 97% of marked plants were found.</w:t>
      </w:r>
      <w:r>
        <w:t xml:space="preserve"> </w:t>
      </w:r>
      <w:r>
        <w:t xml:space="preserve">Of plants that had missing values for some years, but were found again in a subsequent year, 95% had 2 or fewer years of missing values.</w:t>
      </w:r>
      <w:r>
        <w:t xml:space="preserve"> </w:t>
      </w:r>
      <w:r>
        <w:t xml:space="preserve">Therefore, plants that were not found for three consecutive surveys, and no subsequent survey, were considered to have died in the transition year after their last observation.</w:t>
      </w:r>
      <w:r>
        <w:t xml:space="preserve"> </w:t>
      </w:r>
      <w:r>
        <w:t xml:space="preserve">We also surveyed plots regularly during the rainy season to identify any that flowered after the survey.</w:t>
      </w:r>
      <w:r>
        <w:t xml:space="preserve"> </w:t>
      </w:r>
      <w:r>
        <w:t xml:space="preserve">For additional details on the location of plots, survey methods, and</w:t>
      </w:r>
      <w:r>
        <w:t xml:space="preserve"> </w:t>
      </w:r>
      <w:r>
        <w:rPr>
          <w:iCs/>
          <w:i/>
        </w:rPr>
        <w:t xml:space="preserve">H. acuminata</w:t>
      </w:r>
      <w:r>
        <w:t xml:space="preserve"> </w:t>
      </w:r>
      <w:r>
        <w:t xml:space="preserve">population structure see</w:t>
      </w:r>
      <w:r>
        <w:t xml:space="preserve"> </w:t>
      </w:r>
      <w:r>
        <w:t xml:space="preserve">Bruna &amp; Kress (2002)</w:t>
      </w:r>
      <w:r>
        <w:t xml:space="preserve">.</w:t>
      </w:r>
    </w:p>
    <w:bookmarkEnd w:id="25"/>
    <w:bookmarkStart w:id="26"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w:t>
      </w:r>
      <w:r>
        <w:t xml:space="preserve"> </w:t>
      </w:r>
      <w:r>
        <w:t xml:space="preserve">(Beguería &amp; Vicente-Serrano, 2017)</w:t>
      </w:r>
      <w:r>
        <w:t xml:space="preserve">.</w:t>
      </w:r>
      <w:r>
        <w:t xml:space="preserve"> </w:t>
      </w:r>
      <w:r>
        <w:t xml:space="preserve">The timing of drought events based on these SPEI calculations is consistent with that resulting from SPEI calculated with other data sources, though the magnitude of drought sometimes differed (Figure S2; Table S1</w:t>
      </w:r>
      <w:r>
        <w:t xml:space="preserve"> </w:t>
      </w:r>
      <w:r>
        <w:t xml:space="preserve">).</w:t>
      </w:r>
    </w:p>
    <w:bookmarkEnd w:id="26"/>
    <w:bookmarkStart w:id="29"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w:t>
      </w:r>
      <w:r>
        <w:t xml:space="preserve"> </w:t>
      </w:r>
      <w:r>
        <w:t xml:space="preserve">(DLNMs, 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 </w:t>
      </w:r>
      <w:r>
        <w:t xml:space="preserve">Using the</w:t>
      </w:r>
      <w:r>
        <w:t xml:space="preserve"> </w:t>
      </w:r>
      <w:r>
        <w:rPr>
          <w:rStyle w:val="VerbatimChar"/>
        </w:rPr>
        <w:t xml:space="preserve">dlnm</w:t>
      </w:r>
      <w:r>
        <w:t xml:space="preserve"> </w:t>
      </w:r>
      <w:r>
        <w:t xml:space="preserve">package</w:t>
      </w:r>
      <w:r>
        <w:t xml:space="preserve"> </w:t>
      </w:r>
      <w:r>
        <w:t xml:space="preserve">(Gasparrini, 2011; R Core Team, 2020)</w:t>
      </w:r>
      <w:r>
        <w:t xml:space="preserve">, we created crossbasis functions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(Bruna et al., 2002)</w:t>
      </w:r>
      <w:r>
        <w:t xml:space="preserve"> </w:t>
      </w:r>
      <w:r>
        <w:t xml:space="preserve">so this is a reasonable upper bound for lagged effects of drought.</w:t>
      </w:r>
      <w:r>
        <w:t xml:space="preserve"> </w:t>
      </w:r>
      <w:r>
        <w:t xml:space="preserve">The general form of the vital rate (</w:t>
      </w:r>
      <m:oMath>
        <m:r>
          <m:t>y</m:t>
        </m:r>
      </m:oMath>
      <w:r>
        <w:t xml:space="preserve">) models was as follows:</w:t>
      </w:r>
    </w:p>
    <w:p>
      <w:pPr>
        <w:pStyle w:val="BodyText"/>
      </w:pPr>
      <w:bookmarkStart w:id="27"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r>
                              <m:t>j</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p>
                      <m:e>
                        <m:r>
                          <m:t>σ</m:t>
                        </m:r>
                      </m:e>
                      <m:sup>
                        <m:r>
                          <m:t>2</m:t>
                        </m:r>
                      </m:sup>
                    </m:sSup>
                  </m:e>
                </m:d>
                <m:r>
                  <m:rPr>
                    <m:sty m:val="p"/>
                  </m:rPr>
                  <m:t>,</m:t>
                </m:r>
                <m:r>
                  <m:t> </m:t>
                </m:r>
                <m:r>
                  <m:rPr>
                    <m:nor/>
                    <m:sty m:val="p"/>
                  </m:rPr>
                  <m:t>for plot j</m:t>
                </m:r>
              </m:e>
            </m:mr>
          </m:m>
          <m:r>
            <m:t>  </m:t>
          </m:r>
          <m:d>
            <m:dPr>
              <m:begChr m:val="("/>
              <m:endChr m:val=")"/>
              <m:grow/>
            </m:dPr>
            <m:e>
              <m:r>
                <m:t>1</m:t>
              </m:r>
            </m:e>
          </m:d>
        </m:oMath>
      </m:oMathPara>
      <w:bookmarkEnd w:id="27"/>
    </w:p>
    <w:p>
      <w:pPr>
        <w:pStyle w:val="FirstParagraph"/>
      </w:pPr>
      <w:r>
        <w:t xml:space="preserve">where</w:t>
      </w:r>
      <w:r>
        <w:t xml:space="preserve"> </w:t>
      </w:r>
      <m:oMath>
        <m:sSub>
          <m:e>
            <m:r>
              <m:t>y</m:t>
            </m:r>
          </m:e>
          <m:sub>
            <m:r>
              <m:t>i</m:t>
            </m:r>
            <m:r>
              <m:t>j</m:t>
            </m:r>
          </m:sub>
        </m:sSub>
      </m:oMath>
      <w:r>
        <w:t xml:space="preserve"> </w:t>
      </w:r>
      <w:r>
        <w:t xml:space="preserve">is the</w:t>
      </w:r>
      <w:r>
        <w:t xml:space="preserve"> </w:t>
      </w:r>
      <m:oMath>
        <m:r>
          <m:t>i</m:t>
        </m:r>
      </m:oMath>
      <w:r>
        <w:t xml:space="preserve">th plant observation in the</w:t>
      </w:r>
      <w:r>
        <w:t xml:space="preserve"> </w:t>
      </w:r>
      <m:oMath>
        <m:r>
          <m:t>j</m:t>
        </m:r>
      </m:oMath>
      <w:r>
        <w:t xml:space="preserve">th plot</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r>
        <w:t xml:space="preserve"> </w:t>
      </w:r>
      <w:r>
        <w:t xml:space="preserve">Additionally, in models for flowering probability and size, we included plant ID as a random effect to account for variation among individuals.</w:t>
      </w:r>
      <w:r>
        <w:t xml:space="preserve"> </w:t>
      </w:r>
      <w:r>
        <w:t xml:space="preserve">Preliminary analyses showed that this random effect was not significant in the growth models (edf ~ 0, p &gt; 0.2) and as such it was dropped to improve computational efficiency.</w:t>
      </w:r>
      <w:r>
        <w:t xml:space="preserve"> </w:t>
      </w:r>
      <w:r>
        <w:t xml:space="preserve">A random effect of plant ID was not included in survival models since each plant only dies once.</w:t>
      </w:r>
      <w:r>
        <w:t xml:space="preserve"> </w:t>
      </w: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8"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8"/>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w:t>
      </w:r>
      <w:r>
        <w:t xml:space="preserve"> </w:t>
      </w:r>
      <w:r>
        <w:t xml:space="preserve">Penalized cubic regression splines were used for both marginal bases of the crossbasis function.</w:t>
      </w:r>
      <w:r>
        <w:t xml:space="preserve"> </w:t>
      </w:r>
      <w:r>
        <w:t xml:space="preserve">We increased</w:t>
      </w:r>
      <w:r>
        <w:t xml:space="preserve"> </w:t>
      </w:r>
      <w:r>
        <w:rPr>
          <w:iCs/>
          <w:i/>
        </w:rPr>
        <w:t xml:space="preserve">k</w:t>
      </w:r>
      <w:r>
        <w:t xml:space="preserve">, the maximum basis dimension, as necessary to be sure it was adequate.</w:t>
      </w:r>
      <w:r>
        <w:t xml:space="preserve"> </w:t>
      </w:r>
      <w:r>
        <w:t xml:space="preserve">Because of penalization, the maximum basis dimension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package</w:t>
      </w:r>
      <w:r>
        <w:t xml:space="preserve"> </w:t>
      </w:r>
      <w:r>
        <w:t xml:space="preserve">(Wood, 2017)</w:t>
      </w:r>
      <w:r>
        <w:t xml:space="preserve">.</w:t>
      </w:r>
      <w:r>
        <w:t xml:space="preserve"> </w:t>
      </w:r>
      <w:r>
        <w:t xml:space="preserve">The crossbasis smooth was coded as:</w:t>
      </w:r>
    </w:p>
    <w:p>
      <w:pPr>
        <w:pStyle w:val="SourceCode"/>
      </w:pPr>
      <w:r>
        <w:rPr>
          <w:rStyle w:val="VerbatimChar"/>
        </w:rPr>
        <w:t xml:space="preserve">s(spei_history, L, bs = "cb", xt = list(bs = "cr"))</w:t>
      </w:r>
    </w:p>
    <w:p>
      <w:pPr>
        <w:pStyle w:val="FirstParagraph"/>
      </w:pPr>
      <w:r>
        <w:t xml:space="preserve">Where</w:t>
      </w:r>
      <w:r>
        <w:t xml:space="preserve"> </w:t>
      </w:r>
      <w:r>
        <w:rPr>
          <w:rStyle w:val="VerbatimChar"/>
        </w:rPr>
        <w:t xml:space="preserve">spei_history</w:t>
      </w:r>
      <w:r>
        <w:t xml:space="preserve"> </w:t>
      </w:r>
      <w:r>
        <w:t xml:space="preserve">is a</w:t>
      </w:r>
      <w:r>
        <w:t xml:space="preserve"> </w:t>
      </w:r>
      <m:oMath>
        <m:r>
          <m:t>n</m:t>
        </m:r>
        <m:r>
          <m:rPr>
            <m:sty m:val="p"/>
          </m:rPr>
          <m:t>×</m:t>
        </m:r>
        <m:r>
          <m:t>m</m:t>
        </m:r>
      </m:oMath>
      <w:r>
        <w:t xml:space="preserve"> </w:t>
      </w:r>
      <w:r>
        <w:t xml:space="preserve">matrix with each row (</w:t>
      </w:r>
      <m:oMath>
        <m:r>
          <m:t>n</m:t>
        </m:r>
      </m:oMath>
      <w:r>
        <w:t xml:space="preserve">) containing the climate history of a single plant in a year and</w:t>
      </w:r>
      <w:r>
        <w:t xml:space="preserve"> </w:t>
      </w:r>
      <m:oMath>
        <m:r>
          <m:t>m</m:t>
        </m:r>
        <m:r>
          <m:rPr>
            <m:sty m:val="p"/>
          </m:rPr>
          <m:t>=</m:t>
        </m:r>
        <m:r>
          <m:t>36</m:t>
        </m:r>
      </m:oMath>
      <w:r>
        <w:t xml:space="preserve"> </w:t>
      </w:r>
      <w:r>
        <w:t xml:space="preserve">columns representing the past weather conditions starting at the month of the census and going backwards in time 36 months.</w:t>
      </w:r>
      <w:r>
        <w:t xml:space="preserve"> </w:t>
      </w:r>
      <w:r>
        <w:rPr>
          <w:rStyle w:val="VerbatimChar"/>
        </w:rPr>
        <w:t xml:space="preserve">L</w:t>
      </w:r>
      <w:r>
        <w:t xml:space="preserve"> </w:t>
      </w:r>
      <w:r>
        <w:t xml:space="preserve">is an</w:t>
      </w:r>
      <w:r>
        <w:t xml:space="preserve"> </w:t>
      </w:r>
      <m:oMath>
        <m:r>
          <m:t>n</m:t>
        </m:r>
        <m:r>
          <m:rPr>
            <m:sty m:val="p"/>
          </m:rPr>
          <m:t>×</m:t>
        </m:r>
        <m:r>
          <m:t>m</m:t>
        </m:r>
      </m:oMath>
      <w:r>
        <w:t xml:space="preserve"> </w:t>
      </w:r>
      <w:r>
        <w:t xml:space="preserve">matrix with columns describing the lag structure, i.e. the integers 0 through 36.</w:t>
      </w:r>
      <w:r>
        <w:t xml:space="preserve"> </w:t>
      </w:r>
      <w:r>
        <w:t xml:space="preserve">The spline basis,</w:t>
      </w:r>
      <w:r>
        <w:t xml:space="preserve"> </w:t>
      </w:r>
      <w:r>
        <w:rPr>
          <w:rStyle w:val="VerbatimChar"/>
        </w:rPr>
        <w:t xml:space="preserve">"cb"</w:t>
      </w:r>
      <w:r>
        <w:t xml:space="preserve"> </w:t>
      </w:r>
      <w:r>
        <w:t xml:space="preserve">is provided by the</w:t>
      </w:r>
      <w:r>
        <w:t xml:space="preserve"> </w:t>
      </w:r>
      <w:r>
        <w:rPr>
          <w:rStyle w:val="VerbatimChar"/>
        </w:rPr>
        <w:t xml:space="preserve">dlnm</w:t>
      </w:r>
      <w:r>
        <w:t xml:space="preserve"> </w:t>
      </w:r>
      <w:r>
        <w:t xml:space="preserve">package, and we specified the marginal bases as cubic regression splines with the</w:t>
      </w:r>
      <w:r>
        <w:t xml:space="preserve"> </w:t>
      </w:r>
      <w:r>
        <w:rPr>
          <w:rStyle w:val="VerbatimChar"/>
        </w:rPr>
        <w:t xml:space="preserve">xt</w:t>
      </w:r>
      <w:r>
        <w:t xml:space="preserve"> </w:t>
      </w:r>
      <w:r>
        <w:t xml:space="preserve">argument.</w:t>
      </w:r>
      <w:r>
        <w:t xml:space="preserve"> </w:t>
      </w:r>
      <w:r>
        <w:t xml:space="preserve">For the full code used to fit the models, see</w:t>
      </w:r>
      <w:r>
        <w:t xml:space="preserve"> </w:t>
      </w:r>
      <w:r>
        <w:t xml:space="preserve">.</w:t>
      </w:r>
    </w:p>
    <w:p>
      <w:pPr>
        <w:pStyle w:val="BodyText"/>
      </w:pPr>
      <w:r>
        <w:t xml:space="preserve">We determined the effects of SPEI on plant growth using plant size in year t+1 as a response variable.</w:t>
      </w:r>
      <w:r>
        <w:t xml:space="preserve"> </w:t>
      </w:r>
      <w:r>
        <w:t xml:space="preserve">This was modeled with a scaled t family error distribution because residuals were leptokurtic with a Gaussian error structure.</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the modeling of interaction terms, which means we could not asses the interaction of habitat type and lagged effects.</w:t>
      </w:r>
      <w:r>
        <w:t xml:space="preserve"> </w:t>
      </w:r>
      <w:r>
        <w:t xml:space="preserve">We therefore fit separate models for plants in fragments and in continuous forest to allow the shape of the crossbasis function to differ between habitats.</w:t>
      </w:r>
      <w:r>
        <w:t xml:space="preserve"> </w:t>
      </w:r>
      <w:r>
        <w:t xml:space="preserve">Significant main effects of habitat type were assessed by looking for overlap in the 84% confidence intervals of model intercepts; the 84% CIs of two samples drawn from the same population overlap about 95% of the time</w:t>
      </w:r>
      <w:r>
        <w:t xml:space="preserve"> </w:t>
      </w:r>
      <w:r>
        <w:t xml:space="preserve">(Payton et al., 2003)</w:t>
      </w:r>
      <w:r>
        <w:t xml:space="preserve">.</w:t>
      </w:r>
    </w:p>
    <w:p>
      <w:pPr>
        <w:pStyle w:val="BodyText"/>
      </w:pPr>
      <w:r>
        <w:t xml:space="preserve">To visualize results, we plotted partial effects plots for the one-dimensional smooth function of log size in the previous year and the two-dimensional smooth function of lagged SPEI (the crossbasis function) for each model.</w:t>
      </w:r>
      <w:r>
        <w:t xml:space="preserve"> </w:t>
      </w:r>
      <w:r>
        <w:t xml:space="preserve">To make these plots more interpretable, we added the model intercept and (when applicable) back-transformed the y-axis to be on the scale of the response (e.g. a probability for survival and flowering).</w:t>
      </w:r>
    </w:p>
    <w:p>
      <w:pPr>
        <w:pStyle w:val="BodyText"/>
      </w:pPr>
      <w:r>
        <w:t xml:space="preserve">All analyses were conducted in R version 4.0.2 (2020-06-22)</w:t>
      </w:r>
      <w:r>
        <w:t xml:space="preserve"> </w:t>
      </w:r>
      <w:r>
        <w:t xml:space="preserve">(R Core Team, 2020)</w:t>
      </w:r>
      <w:r>
        <w:t xml:space="preserve"> </w:t>
      </w:r>
      <w:r>
        <w:t xml:space="preserve">using the</w:t>
      </w:r>
      <w:r>
        <w:t xml:space="preserve"> </w:t>
      </w:r>
      <w:r>
        <w:rPr>
          <w:rStyle w:val="VerbatimChar"/>
        </w:rPr>
        <w:t xml:space="preserve">targets</w:t>
      </w:r>
      <w:r>
        <w:t xml:space="preserve"> </w:t>
      </w:r>
      <w:r>
        <w:t xml:space="preserve">package for workflow management</w:t>
      </w:r>
      <w:r>
        <w:t xml:space="preserve"> </w:t>
      </w:r>
      <w:r>
        <w:t xml:space="preserve">(Landau, 2021)</w:t>
      </w:r>
      <w:r>
        <w:t xml:space="preserve">.</w:t>
      </w:r>
      <w:r>
        <w:t xml:space="preserve"> </w:t>
      </w:r>
      <w:r>
        <w:t xml:space="preserve">Figures were created with the aid of the</w:t>
      </w:r>
      <w:r>
        <w:t xml:space="preserve"> </w:t>
      </w:r>
      <w:r>
        <w:rPr>
          <w:rStyle w:val="VerbatimChar"/>
        </w:rPr>
        <w:t xml:space="preserve">gratia</w:t>
      </w:r>
      <w:r>
        <w:t xml:space="preserve">,</w:t>
      </w:r>
      <w:r>
        <w:t xml:space="preserve"> </w:t>
      </w:r>
      <w:r>
        <w:rPr>
          <w:rStyle w:val="VerbatimChar"/>
        </w:rPr>
        <w:t xml:space="preserve">ggplot2</w:t>
      </w:r>
      <w:r>
        <w:t xml:space="preserve">, and</w:t>
      </w:r>
      <w:r>
        <w:t xml:space="preserve"> </w:t>
      </w:r>
      <w:r>
        <w:rPr>
          <w:rStyle w:val="VerbatimChar"/>
        </w:rPr>
        <w:t xml:space="preserve">patchwork</w:t>
      </w:r>
      <w:r>
        <w:t xml:space="preserve"> </w:t>
      </w:r>
      <w:r>
        <w:t xml:space="preserve">packages</w:t>
      </w:r>
      <w:r>
        <w:t xml:space="preserve"> </w:t>
      </w:r>
      <w:r>
        <w:t xml:space="preserve">(Pedersen, 2020; Simpson, 2021; Wickham, 2016)</w:t>
      </w:r>
      <w:r>
        <w:t xml:space="preserve">.</w:t>
      </w:r>
    </w:p>
    <w:bookmarkEnd w:id="29"/>
    <w:bookmarkEnd w:id="30"/>
    <w:bookmarkStart w:id="33" w:name="results"/>
    <w:p>
      <w:pPr>
        <w:pStyle w:val="Heading1"/>
      </w:pPr>
      <w:r>
        <w:t xml:space="preserve">Results</w:t>
      </w:r>
    </w:p>
    <w:p>
      <w:pPr>
        <w:pStyle w:val="FirstParagraph"/>
      </w:pPr>
      <w:r>
        <w:t xml:space="preserve">The meteorological droughts in our focal region indicated by SPEI are generally consistent with those reported in the literature (Table S1).</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 The 2005 dry season (June–October) was also reported as an exceptionally dry year, although this drought mostly affected the southwestern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1" w:name="X0298649a63b4ec17841dba9b766e96494c4e63b"/>
    <w:p>
      <w:pPr>
        <w:pStyle w:val="Heading2"/>
      </w:pPr>
      <w:r>
        <w:t xml:space="preserve">Survival, growth, and flowering in continuous forest vs. fragments</w:t>
      </w:r>
    </w:p>
    <w:p>
      <w:pPr>
        <w:pStyle w:val="FirstParagraph"/>
      </w:pPr>
      <w:r>
        <w:rPr>
          <w:iCs/>
          <w:i/>
        </w:rPr>
        <w:t xml:space="preserve">Survival:</w:t>
      </w:r>
      <w:r>
        <w:t xml:space="preserve"> </w:t>
      </w:r>
      <w:r>
        <w:t xml:space="preserve">Across all plots, the proportion of plants surviving was lowest in the 2003–2004 transition year (</w:t>
      </w:r>
      <m:oMath>
        <m:sSub>
          <m:e>
            <m:r>
              <m:t>P</m:t>
            </m:r>
          </m:e>
          <m:sub>
            <m:r>
              <m:t>s</m:t>
            </m:r>
            <m:r>
              <m:t>u</m:t>
            </m:r>
            <m:r>
              <m:t>r</m:t>
            </m:r>
            <m:r>
              <m:t>v</m:t>
            </m:r>
          </m:sub>
        </m:sSub>
        <m:r>
          <m:rPr>
            <m:sty m:val="p"/>
          </m:rPr>
          <m:t>=</m:t>
        </m:r>
        <m:r>
          <m:t>0.93</m:t>
        </m:r>
      </m:oMath>
      <w:r>
        <w:t xml:space="preserve"> </w:t>
      </w:r>
      <w:r>
        <w:t xml:space="preserve">in both continuous forest and forest fragments).</w:t>
      </w:r>
      <w:r>
        <w:t xml:space="preserve"> </w:t>
      </w:r>
      <w:r>
        <w:t xml:space="preserve">This coincided with droughts in both the 2003 and 2004 rainy seasons (Figure</w:t>
      </w:r>
      <w:r>
        <w:t xml:space="preserve"> </w:t>
      </w:r>
      <w:r>
        <w:t xml:space="preserve">1</w:t>
      </w:r>
      <w:r>
        <w:t xml:space="preserve">b,d) and was preceded by a drop in average plant size in the 2002–2003 transition year (i.e. negative growth in Figure</w:t>
      </w:r>
      <w:r>
        <w:t xml:space="preserve"> </w:t>
      </w:r>
      <w:r>
        <w:t xml:space="preserve">1</w:t>
      </w:r>
      <w:r>
        <w:t xml:space="preserve">a).</w:t>
      </w:r>
      <w:r>
        <w:t xml:space="preserve"> </w:t>
      </w:r>
      <w:r>
        <w:t xml:space="preserve">When summarizing across years, plots, and plant sizes, the survival probability of</w:t>
      </w:r>
      <w:r>
        <w:t xml:space="preserve"> </w:t>
      </w:r>
      <w:r>
        <w:rPr>
          <w:iCs/>
          <w:i/>
        </w:rPr>
        <w:t xml:space="preserve">Heliconia acuminata</w:t>
      </w:r>
      <w:r>
        <w:t xml:space="preserve"> </w:t>
      </w:r>
      <w:r>
        <w:t xml:space="preserve">was similarly high in both continuous forest and fragments (</w:t>
      </w:r>
      <m:oMath>
        <m:sSub>
          <m:e>
            <m:r>
              <m:t>P</m:t>
            </m:r>
          </m:e>
          <m:sub>
            <m:r>
              <m:t>s</m:t>
            </m:r>
            <m:r>
              <m:t>u</m:t>
            </m:r>
            <m:r>
              <m:t>r</m:t>
            </m:r>
            <m:r>
              <m:t>v</m:t>
            </m:r>
          </m:sub>
        </m:sSub>
        <m:r>
          <m:rPr>
            <m:sty m:val="p"/>
          </m:rPr>
          <m:t>=</m:t>
        </m:r>
        <m:r>
          <m:t>0.95</m:t>
        </m:r>
      </m:oMath>
      <w:r>
        <w:t xml:space="preserve">; Figure</w:t>
      </w:r>
      <w:r>
        <w:t xml:space="preserve"> </w:t>
      </w:r>
      <w:r>
        <w:t xml:space="preserve">1</w:t>
      </w:r>
      <w:r>
        <w:t xml:space="preserve">b; the overlapping 85% CI of model intercepts indicate no significant difference).</w:t>
      </w:r>
      <w:r>
        <w:t xml:space="preserve"> </w:t>
      </w:r>
      <w:r>
        <w:t xml:space="preserve">However, survival in both habitats was size dependent (</w:t>
      </w:r>
      <m:oMath>
        <m:r>
          <m:t>p</m:t>
        </m:r>
        <m:r>
          <m:rPr>
            <m:sty m:val="p"/>
          </m:rPr>
          <m:t>&lt;</m:t>
        </m:r>
        <m:r>
          <m:t>0.001</m:t>
        </m:r>
      </m:oMath>
      <w:r>
        <w:t xml:space="preserve"> </w:t>
      </w:r>
      <w:r>
        <w:t xml:space="preserve">for the effect of log-transformed plant size in year</w:t>
      </w:r>
      <w:r>
        <w:t xml:space="preserve"> </w:t>
      </w:r>
      <w:r>
        <w:rPr>
          <w:iCs/>
          <w:i/>
        </w:rPr>
        <w:t xml:space="preserve">t</w:t>
      </w:r>
      <w:r>
        <w:t xml:space="preserve"> </w:t>
      </w:r>
      <w:r>
        <w:t xml:space="preserve">on survival in year</w:t>
      </w:r>
      <w:r>
        <w:t xml:space="preserve"> </w:t>
      </w:r>
      <w:r>
        <w:rPr>
          <w:iCs/>
          <w:i/>
        </w:rPr>
        <w:t xml:space="preserve">t+1</w:t>
      </w:r>
      <w:r>
        <w:t xml:space="preserve"> </w:t>
      </w:r>
      <w:r>
        <w:t xml:space="preserve">in both habitats).</w:t>
      </w:r>
      <w:r>
        <w:t xml:space="preserve"> </w:t>
      </w:r>
      <w:r>
        <w:t xml:space="preserve">The survival probability of large plants approached 1 in both habitat types (Figure</w:t>
      </w:r>
      <w:r>
        <w:t xml:space="preserve"> </w:t>
      </w:r>
      <w:r>
        <w:t xml:space="preserve">3</w:t>
      </w:r>
      <w:r>
        <w:t xml:space="preserve">b), but the smallest plants had higher survival in 1-ha fragments.</w:t>
      </w:r>
    </w:p>
    <w:p>
      <w:pPr>
        <w:pStyle w:val="BodyText"/>
      </w:pPr>
      <w:r>
        <w:rPr>
          <w:iCs/>
          <w:i/>
        </w:rPr>
        <w:t xml:space="preserve">Size:</w:t>
      </w:r>
      <w:r>
        <w:t xml:space="preserve"> </w:t>
      </w:r>
      <w:r>
        <w:t xml:space="preserve">Plants in continuous forest had an average of 2.9 shoots (± 1.8 SD) and were on average 39.8 cm tall (± 26.2 SD).</w:t>
      </w:r>
      <w:r>
        <w:t xml:space="preserve"> </w:t>
      </w:r>
      <w:r>
        <w:t xml:space="preserve">Plants in 1-ha fragments had on average 14% fewer shoots (2.5 ± 1.4 SD) and were 10.5% shorter (35.6 cm ± 23.8 SD).</w:t>
      </w:r>
      <w:r>
        <w:t xml:space="preserve"> </w:t>
      </w:r>
      <w:r>
        <w:t xml:space="preserve">Because our proxy for plant size was the product of these two metrics, plants in continuous forest were on average 32% larger than those in forest fragments (144 ± 176 SD vs. 109 ± 139 SD, respectively), with fragments having proportionately fewer large plants (Figure</w:t>
      </w:r>
      <w:r>
        <w:t xml:space="preserve"> </w:t>
      </w:r>
      <w:r>
        <w:t xml:space="preserve">3</w:t>
      </w:r>
      <w:r>
        <w:t xml:space="preserve">d).</w:t>
      </w:r>
      <w:r>
        <w:t xml:space="preserve"> </w:t>
      </w:r>
      <w:r>
        <w:t xml:space="preserve">Plants were significantly larger in continuous forest (no overlap in 84% CI of model intercepts), and the disparity in plant size—which was most pronounced in the initial years of our surveys—diminished over time (Figure</w:t>
      </w:r>
      <w:r>
        <w:t xml:space="preserve"> </w:t>
      </w:r>
      <w:r>
        <w:t xml:space="preserve">1</w:t>
      </w:r>
      <w:r>
        <w:t xml:space="preserve">a).</w:t>
      </w:r>
    </w:p>
    <w:p>
      <w:pPr>
        <w:pStyle w:val="BodyText"/>
      </w:pPr>
      <w:r>
        <w:t xml:space="preserve">Mean plant size dropped dramatically in 2003 in both habitat types, corresponding with a severe drought during the February census (SPEI = -1.39) (Figure</w:t>
      </w:r>
      <w:r>
        <w:t xml:space="preserve"> </w:t>
      </w:r>
      <w:r>
        <w:t xml:space="preserve">1</w:t>
      </w:r>
      <w:r>
        <w:t xml:space="preserve">d).</w:t>
      </w:r>
      <w:r>
        <w:t xml:space="preserve"> </w:t>
      </w:r>
      <w:r>
        <w:t xml:space="preserve">As with survival, size in year t was a significant predictor of size in year t+1 (</w:t>
      </w:r>
      <m:oMath>
        <m:r>
          <m:t>p</m:t>
        </m:r>
        <m:r>
          <m:rPr>
            <m:sty m:val="p"/>
          </m:rPr>
          <m:t>&lt;</m:t>
        </m:r>
        <m:r>
          <m:t>0.001</m:t>
        </m:r>
      </m:oMath>
      <w:r>
        <w:t xml:space="preserve"> </w:t>
      </w:r>
      <w:r>
        <w:t xml:space="preserve">in both habitats).</w:t>
      </w:r>
      <w:r>
        <w:t xml:space="preserve"> </w:t>
      </w:r>
      <w:r>
        <w:t xml:space="preserve">Although plants were significantly larger in continuous forest compared to fragments, the effect of size in year t on size in year t+1 is nearly identical in the two habitats (Figure</w:t>
      </w:r>
      <w:r>
        <w:t xml:space="preserve"> </w:t>
      </w:r>
      <w:r>
        <w:t xml:space="preserve">3</w:t>
      </w:r>
      <w:r>
        <w:t xml:space="preserve">a).</w:t>
      </w:r>
    </w:p>
    <w:p>
      <w:pPr>
        <w:pStyle w:val="BodyText"/>
      </w:pPr>
      <w:r>
        <w:rPr>
          <w:iCs/>
          <w:i/>
        </w:rPr>
        <w:t xml:space="preserve">Flowering:</w:t>
      </w:r>
      <w:r>
        <w:t xml:space="preserve"> </w:t>
      </w:r>
      <w:r>
        <w:t xml:space="preserve">The overall proportion of plants that flowered was very low.</w:t>
      </w:r>
      <w:r>
        <w:t xml:space="preserve"> </w:t>
      </w:r>
      <w:r>
        <w:t xml:space="preserve">Flowering probability was 31% higher in continuous forest than 1-ha fragments (0.046 ± 0.209 vs. 0.035 ± 0.184, respectively); this difference was statistically significant (84% CIs of model intercepts did not overlap).</w:t>
      </w:r>
      <w:r>
        <w:t xml:space="preserve"> </w:t>
      </w:r>
      <w:r>
        <w:t xml:space="preserve">The observed disparity was largely due to the fact that flowering is also size-dependent (</w:t>
      </w:r>
      <m:oMath>
        <m:r>
          <m:t>p</m:t>
        </m:r>
        <m:r>
          <m:rPr>
            <m:sty m:val="p"/>
          </m:rPr>
          <m:t>&lt;</m:t>
        </m:r>
        <m:r>
          <m:t>0.001</m:t>
        </m:r>
      </m:oMath>
      <w:r>
        <w:t xml:space="preserve"> </w:t>
      </w:r>
      <w:r>
        <w:t xml:space="preserve">in both habitats), with the probability of flowering increasing dramatically once plants reached the threshold size of about 148 (i.e., log(size) &gt; 5 in Figure</w:t>
      </w:r>
      <w:r>
        <w:t xml:space="preserve"> </w:t>
      </w:r>
      <w:r>
        <w:t xml:space="preserve">3</w:t>
      </w:r>
      <w:r>
        <w:t xml:space="preserve">c).</w:t>
      </w:r>
      <w:r>
        <w:t xml:space="preserve"> </w:t>
      </w:r>
      <w:r>
        <w:t xml:space="preserve">Despite the flowering probability of the largest plants being greater in fragments than continuous forest, populations in fragments had proportionately fewer plants above the reproductive size threshold (Figure</w:t>
      </w:r>
      <w:r>
        <w:t xml:space="preserve"> </w:t>
      </w:r>
      <w:r>
        <w:t xml:space="preserve">3</w:t>
      </w:r>
      <w:r>
        <w:t xml:space="preserve">d).</w:t>
      </w:r>
      <w:r>
        <w:t xml:space="preserve"> </w:t>
      </w:r>
      <w:r>
        <w:t xml:space="preserve">The most striking difference between habitat types coincided with a severe drought in 2003, when the percentage of flowering reproductive-sized plants was 28% in continuous forest vs. 17% in 1-ha fragments (Figure</w:t>
      </w:r>
      <w:r>
        <w:t xml:space="preserve"> </w:t>
      </w:r>
      <w:r>
        <w:t xml:space="preserve">1</w:t>
      </w:r>
      <w:r>
        <w:t xml:space="preserve">c).</w:t>
      </w:r>
    </w:p>
    <w:bookmarkEnd w:id="31"/>
    <w:bookmarkStart w:id="32" w:name="X6dd1d867d94c602f9192bc61b904a4ff4b78b2f"/>
    <w:p>
      <w:pPr>
        <w:pStyle w:val="Heading2"/>
      </w:pPr>
      <w:r>
        <w:t xml:space="preserve">Delayed effects of drought on demographic vital rates</w:t>
      </w:r>
    </w:p>
    <w:p>
      <w:pPr>
        <w:pStyle w:val="FirstParagraph"/>
      </w:pPr>
      <w:r>
        <w:t xml:space="preserve">Drought history had a significant (</w:t>
      </w:r>
      <m:oMath>
        <m:r>
          <m:t>p</m:t>
        </m:r>
        <m:r>
          <m:rPr>
            <m:sty m:val="p"/>
          </m:rPr>
          <m:t>&lt;</m:t>
        </m:r>
        <m:r>
          <m:t>0.001</m:t>
        </m:r>
      </m:oMath>
      <w:r>
        <w:t xml:space="preserve">) effect on the survival, growth, and flowering of plants in both habitats.</w:t>
      </w:r>
      <w:r>
        <w:t xml:space="preserve"> </w:t>
      </w:r>
      <w:r>
        <w:t xml:space="preserve">Comparing the respective crossbasis surfaces, however, reveals that the specific climatic drivers, their timing, and their impact on individual vital rates all differed among habitats.</w:t>
      </w:r>
    </w:p>
    <w:p>
      <w:pPr>
        <w:pStyle w:val="BodyText"/>
      </w:pPr>
      <w:r>
        <w:rPr>
          <w:iCs/>
          <w:i/>
        </w:rPr>
        <w:t xml:space="preserve">Survival:</w:t>
      </w:r>
      <w:r>
        <w:t xml:space="preserve"> </w:t>
      </w:r>
      <w:r>
        <w:t xml:space="preserve">For 1-ha fragments, there was a significant effect on survival of SPEI in the preceding 13 months.</w:t>
      </w:r>
      <w:r>
        <w:t xml:space="preserve"> </w:t>
      </w:r>
      <w:r>
        <w:t xml:space="preserve">The highest survival was near SPEI of 0, with mortality increasing as conditions became either drier or wetter (i.e., as SPEI values became increasingly negative or positive, respectively; Figure</w:t>
      </w:r>
      <w:r>
        <w:t xml:space="preserve"> </w:t>
      </w:r>
      <w:r>
        <w:t xml:space="preserve">4</w:t>
      </w:r>
      <w:r>
        <w:t xml:space="preserve">b).</w:t>
      </w:r>
      <w:r>
        <w:t xml:space="preserve"> </w:t>
      </w:r>
      <w:r>
        <w:t xml:space="preserve">Wet conditions in the preceding 23 months (i.e., SPEI &gt; 1) also had a significant negative effect on survival in fragments (Figure</w:t>
      </w:r>
      <w:r>
        <w:t xml:space="preserve"> </w:t>
      </w:r>
      <w:r>
        <w:t xml:space="preserve">4</w:t>
      </w:r>
      <w:r>
        <w:t xml:space="preserve">b).</w:t>
      </w:r>
      <w:r>
        <w:t xml:space="preserve"> </w:t>
      </w:r>
      <w:r>
        <w:t xml:space="preserve">In contrast, the effect of recent SPEI in continuous forest was weaker, with only the 6 months preceding a census having a significant effect on survival (Figure</w:t>
      </w:r>
      <w:r>
        <w:t xml:space="preserve"> </w:t>
      </w:r>
      <w:r>
        <w:t xml:space="preserve">4</w:t>
      </w:r>
      <w:r>
        <w:t xml:space="preserve">a).</w:t>
      </w:r>
      <w:r>
        <w:t xml:space="preserve"> </w:t>
      </w:r>
      <w:r>
        <w:t xml:space="preserve">These short-term effects of SPEI on survival were also unidirectional—the probability of survival declined, albeit only slightly, with increasingly negative values of SPEI (i.e., as droughts became more severe; Figure</w:t>
      </w:r>
      <w:r>
        <w:t xml:space="preserve"> </w:t>
      </w:r>
      <w:r>
        <w:t xml:space="preserve">4</w:t>
      </w:r>
      <w:r>
        <w:t xml:space="preserve">a).</w:t>
      </w:r>
      <w:r>
        <w:t xml:space="preserve"> </w:t>
      </w:r>
      <w:r>
        <w:t xml:space="preserve">In contrast, the most pronounced negative effects of SPEI on the survival of plants in continuous forest were at lag times of 15–20 months and 32–36 months.</w:t>
      </w:r>
      <w:r>
        <w:t xml:space="preserve"> </w:t>
      </w:r>
      <w:r>
        <w:t xml:space="preserve">Drought 15–20 months prior to a census (i.e. two dry seasons prior to a census) was significantly associated with reduced survival, while high precipitation (i.e., SPEI &gt; 1) was significantly associated with higher survival.</w:t>
      </w:r>
      <w:r>
        <w:t xml:space="preserve"> </w:t>
      </w:r>
      <w:r>
        <w:t xml:space="preserve">Finally, plants in both habitat types showed an increase in survival probability with very high SPEI values (i.e., extremely high precipitation) at a lag time of 32–36 months.</w:t>
      </w:r>
      <w:r>
        <w:t xml:space="preserve"> </w:t>
      </w:r>
      <w:r>
        <w:t xml:space="preserve">It should be noted, however, that only the first transition year of census data (1998–1999) met these conditions.</w:t>
      </w:r>
      <w:r>
        <w:t xml:space="preserve"> </w:t>
      </w:r>
      <w:r>
        <w:t xml:space="preserve">We compared the effects of SPEI history in continuous forest and fragments by subtracting the fitted values in Figure</w:t>
      </w:r>
      <w:r>
        <w:t xml:space="preserve"> </w:t>
      </w:r>
      <w:r>
        <w:t xml:space="preserve">4</w:t>
      </w:r>
      <w:r>
        <w:t xml:space="preserve">b from Figure</w:t>
      </w:r>
      <w:r>
        <w:t xml:space="preserve"> </w:t>
      </w:r>
      <w:r>
        <w:t xml:space="preserve">4</w:t>
      </w:r>
      <w:r>
        <w:t xml:space="preserve">a to produce Figure</w:t>
      </w:r>
      <w:r>
        <w:t xml:space="preserve"> </w:t>
      </w:r>
      <w:r>
        <w:t xml:space="preserve">4</w:t>
      </w:r>
      <w:r>
        <w:t xml:space="preserve">c.</w:t>
      </w:r>
      <w:r>
        <w:t xml:space="preserve"> </w:t>
      </w:r>
      <w:r>
        <w:t xml:space="preserve">This shows that in average conditions (SPEI = 0), there is little difference in survival probability between continuous forest and forest fragments (Figure</w:t>
      </w:r>
      <w:r>
        <w:t xml:space="preserve"> </w:t>
      </w:r>
      <w:r>
        <w:t xml:space="preserve">4</w:t>
      </w:r>
      <w:r>
        <w:t xml:space="preserve">c).</w:t>
      </w:r>
      <w:r>
        <w:t xml:space="preserve"> </w:t>
      </w:r>
      <w:r>
        <w:t xml:space="preserve">However, under extreme conditions, survival probability is higher in continuous forest by up to 0.025.</w:t>
      </w:r>
    </w:p>
    <w:p>
      <w:pPr>
        <w:pStyle w:val="BodyText"/>
      </w:pPr>
      <w:r>
        <w:rPr>
          <w:iCs/>
          <w:i/>
        </w:rPr>
        <w:t xml:space="preserve">Growth:</w:t>
      </w:r>
      <w:r>
        <w:t xml:space="preserve"> </w:t>
      </w:r>
      <w:r>
        <w:t xml:space="preserve">The effects of drought history on trends in plant size were generally similar for continuous forest and fragments.</w:t>
      </w:r>
      <w:r>
        <w:t xml:space="preserve"> </w:t>
      </w:r>
      <w:r>
        <w:t xml:space="preserve">However, the crossbasis function for 1-ha fragments indicated more complex responses in some situations (edf = 17.8 for 1-ha fragments; edf = 13.0 for continuous forest; see also Figure</w:t>
      </w:r>
      <w:r>
        <w:t xml:space="preserve"> </w:t>
      </w:r>
      <w:r>
        <w:t xml:space="preserve">5</w:t>
      </w:r>
      <w:r>
        <w:t xml:space="preserve">).</w:t>
      </w:r>
      <w:r>
        <w:t xml:space="preserve"> </w:t>
      </w:r>
      <w:r>
        <w:t xml:space="preserve">For example, under average conditions (i.e., SPEI = 0), growth is similar or slightly higher in continuous forest over all lag periods (Figure</w:t>
      </w:r>
      <w:r>
        <w:t xml:space="preserve"> </w:t>
      </w:r>
      <w:r>
        <w:t xml:space="preserve">5</w:t>
      </w:r>
      <w:r>
        <w:t xml:space="preserve">c).</w:t>
      </w:r>
      <w:r>
        <w:t xml:space="preserve"> </w:t>
      </w:r>
      <w:r>
        <w:t xml:space="preserve">However, the growth of plants in fragments is reduced when the current wet season is unusually wet (i.e., SPEI&gt;2), and as a result the plants in continuous forests will be larger by up to log(size) = 0.57.</w:t>
      </w:r>
      <w:r>
        <w:t xml:space="preserve"> </w:t>
      </w:r>
      <w:r>
        <w:t xml:space="preserve">In contrast, drought at lags of 8–11 months (i.e., the end of the preceding year’s wet season) led to increased growth in both habitats, with a more pronounced response in 1-ha fragments.</w:t>
      </w:r>
    </w:p>
    <w:p>
      <w:pPr>
        <w:pStyle w:val="BodyText"/>
      </w:pPr>
      <w:r>
        <w:rPr>
          <w:iCs/>
          <w:i/>
        </w:rPr>
        <w:t xml:space="preserve">Flowering:</w:t>
      </w:r>
      <w:r>
        <w:t xml:space="preserve"> </w:t>
      </w:r>
      <w:r>
        <w:t xml:space="preserve">Overall, the the probability of flowering was higher in continuous forest than in 1-ha fragments for all values of SPEI (Figure</w:t>
      </w:r>
      <w:r>
        <w:t xml:space="preserve"> </w:t>
      </w:r>
      <w:r>
        <w:t xml:space="preserve">6</w:t>
      </w:r>
      <w:r>
        <w:t xml:space="preserve">), although this difference was not significant (84% CIs of intercepts overlap).</w:t>
      </w:r>
      <w:r>
        <w:t xml:space="preserve"> </w:t>
      </w:r>
      <w:r>
        <w:t xml:space="preserve">SPEI had less of an effect on flowering probability in 1-ha fragments as indicated by the narrower range of the evaluated smooth (Figure</w:t>
      </w:r>
      <w:r>
        <w:t xml:space="preserve"> </w:t>
      </w:r>
      <w:r>
        <w:t xml:space="preserve">6</w:t>
      </w:r>
      <w:r>
        <w:t xml:space="preserve">b).</w:t>
      </w:r>
      <w:r>
        <w:t xml:space="preserve"> </w:t>
      </w:r>
      <w:r>
        <w:t xml:space="preserve">This led to some important inter-habitat differences in plant responses to prior droughts.</w:t>
      </w:r>
      <w:r>
        <w:t xml:space="preserve"> </w:t>
      </w:r>
      <w:r>
        <w:t xml:space="preserve">In continuous forests, recent drought (i.e., at lag = 0–2 with SPEI &lt; -1), drought two dry seasons prior (lags 15–20) and in the wet season 34–36 months prior all increased the probability of flowering.</w:t>
      </w:r>
      <w:r>
        <w:t xml:space="preserve"> </w:t>
      </w:r>
      <w:r>
        <w:t xml:space="preserve">However, drought at the end of the rainy season one year prior (lags 7–13) significantly reduced flowering probability (Figure</w:t>
      </w:r>
      <w:r>
        <w:t xml:space="preserve"> </w:t>
      </w:r>
      <w:r>
        <w:t xml:space="preserve">6</w:t>
      </w:r>
      <w:r>
        <w:t xml:space="preserve">a).</w:t>
      </w:r>
      <w:r>
        <w:t xml:space="preserve"> </w:t>
      </w:r>
      <w:r>
        <w:t xml:space="preserve">In fragments, recent drought had no significant effect on flowering probability and only drought at two dry seasons prior (lags 16–20) and in the wet season 33–36 months prior increased flowering probability (Figure</w:t>
      </w:r>
      <w:r>
        <w:t xml:space="preserve"> </w:t>
      </w:r>
      <w:r>
        <w:t xml:space="preserve">6</w:t>
      </w:r>
      <w:r>
        <w:t xml:space="preserve">b).</w:t>
      </w:r>
      <w:r>
        <w:t xml:space="preserve"> </w:t>
      </w:r>
      <w:r>
        <w:t xml:space="preserve">The effects of drought on flowering probability were strong in continuous forest compared to 1 ha fragments (Figure</w:t>
      </w:r>
      <w:r>
        <w:t xml:space="preserve"> </w:t>
      </w:r>
      <w:r>
        <w:t xml:space="preserve">6</w:t>
      </w:r>
      <w:r>
        <w:t xml:space="preserve">c).</w:t>
      </w:r>
      <w:r>
        <w:t xml:space="preserve"> </w:t>
      </w:r>
      <w:r>
        <w:t xml:space="preserve">We found no evidence for a cost of reproduction: in both forest and fragments, plants that had flowered in the previous year were on average more likely to be larger (CF:</w:t>
      </w:r>
      <w:r>
        <w:t xml:space="preserve"> </w:t>
      </w:r>
      <m:oMath>
        <m:r>
          <m:t>p</m:t>
        </m:r>
        <m:r>
          <m:rPr>
            <m:sty m:val="p"/>
          </m:rPr>
          <m:t>=</m:t>
        </m:r>
        <m:r>
          <m:t>0.048</m:t>
        </m:r>
      </m:oMath>
      <w:r>
        <w:t xml:space="preserve">; 1-ha:</w:t>
      </w:r>
      <w:r>
        <w:t xml:space="preserve"> </w:t>
      </w:r>
      <m:oMath>
        <m:r>
          <m:t>p</m:t>
        </m:r>
        <m:r>
          <m:rPr>
            <m:sty m:val="p"/>
          </m:rPr>
          <m:t>=</m:t>
        </m:r>
        <m:r>
          <m:t>0.030</m:t>
        </m:r>
      </m:oMath>
      <w:r>
        <w:t xml:space="preserve">) and flower again (CF:</w:t>
      </w:r>
      <w:r>
        <w:t xml:space="preserve"> </w:t>
      </w:r>
      <m:oMath>
        <m:r>
          <m:t>p</m:t>
        </m:r>
        <m:r>
          <m:rPr>
            <m:sty m:val="p"/>
          </m:rPr>
          <m:t>&lt;</m:t>
        </m:r>
        <m:r>
          <m:t>0.001</m:t>
        </m:r>
      </m:oMath>
      <w:r>
        <w:t xml:space="preserve">; 1-ha:</w:t>
      </w:r>
      <w:r>
        <w:t xml:space="preserve"> </w:t>
      </w:r>
      <m:oMath>
        <m:r>
          <m:t>p</m:t>
        </m:r>
        <m:r>
          <m:rPr>
            <m:sty m:val="p"/>
          </m:rPr>
          <m:t>=</m:t>
        </m:r>
        <m:r>
          <m:t>0.004</m:t>
        </m:r>
      </m:oMath>
      <w:r>
        <w:t xml:space="preserve">).</w:t>
      </w:r>
      <w:r>
        <w:t xml:space="preserve"> </w:t>
      </w:r>
      <w:r>
        <w:t xml:space="preserve">The random effect of plant ID on flowering probability was also significant (CF:</w:t>
      </w:r>
      <w:r>
        <w:t xml:space="preserve"> </w:t>
      </w:r>
      <m:oMath>
        <m:r>
          <m:t>p</m:t>
        </m:r>
        <m:r>
          <m:rPr>
            <m:sty m:val="p"/>
          </m:rPr>
          <m:t>&lt;</m:t>
        </m:r>
        <m:r>
          <m:t>0.001</m:t>
        </m:r>
      </m:oMath>
      <w:r>
        <w:t xml:space="preserve">; 1-ha:</w:t>
      </w:r>
      <w:r>
        <w:t xml:space="preserve"> </w:t>
      </w:r>
      <m:oMath>
        <m:r>
          <m:t>p</m:t>
        </m:r>
        <m:r>
          <m:rPr>
            <m:sty m:val="p"/>
          </m:rPr>
          <m:t>=</m:t>
        </m:r>
        <m:r>
          <m:t>0.003</m:t>
        </m:r>
      </m:oMath>
      <w:r>
        <w:t xml:space="preserve">), indicating significant individual-level variation in flowering probability.</w:t>
      </w:r>
    </w:p>
    <w:p>
      <w:pPr>
        <w:pStyle w:val="BodyText"/>
      </w:pPr>
      <w:r>
        <w:t xml:space="preserve">Finally, with the exception of survival in 1-ha fragments (</w:t>
      </w:r>
      <m:oMath>
        <m:r>
          <m:t>p</m:t>
        </m:r>
        <m:r>
          <m:rPr>
            <m:sty m:val="p"/>
          </m:rPr>
          <m:t>=</m:t>
        </m:r>
        <m:r>
          <m:t>0.253</m:t>
        </m:r>
      </m:oMath>
      <w:r>
        <w:t xml:space="preserve">), the delayed effects of SPEI on all three vital rates varied significantly among plots (</w:t>
      </w:r>
      <m:oMath>
        <m:r>
          <m:t>p</m:t>
        </m:r>
        <m:r>
          <m:rPr>
            <m:sty m:val="p"/>
          </m:rPr>
          <m:t>&lt;</m:t>
        </m:r>
        <m:r>
          <m:t>0.01</m:t>
        </m:r>
      </m:oMath>
      <w:r>
        <w:t xml:space="preserve"> </w:t>
      </w:r>
      <w:r>
        <w:t xml:space="preserve">for the random effect of plot).</w:t>
      </w:r>
    </w:p>
    <w:bookmarkEnd w:id="32"/>
    <w:bookmarkEnd w:id="33"/>
    <w:bookmarkStart w:id="37" w:name="discussion"/>
    <w:p>
      <w:pPr>
        <w:pStyle w:val="Heading1"/>
      </w:pPr>
      <w:r>
        <w:t xml:space="preserve">Discussion</w:t>
      </w:r>
    </w:p>
    <w:p>
      <w:pPr>
        <w:pStyle w:val="FirstParagraph"/>
      </w:pPr>
      <w:r>
        <w:t xml:space="preserve">Understanding how landscape structure and abiotic conditions act to influence population dynamics is central to many conceptual frameworks for studying and conserving fragmented landscapes</w:t>
      </w:r>
      <w:r>
        <w:t xml:space="preserve"> </w:t>
      </w:r>
      <w:r>
        <w:t xml:space="preserve">(Didham et al., 2012; Driscoll et al., 2013)</w:t>
      </w:r>
      <w:r>
        <w:t xml:space="preserve">.</w:t>
      </w:r>
      <w:r>
        <w:t xml:space="preserve"> </w:t>
      </w:r>
      <w:r>
        <w:t xml:space="preserve">Our results support the emerging consensus that the effects of climatic extremes on demographic vital rates can be delayed for months or even years</w:t>
      </w:r>
      <w:r>
        <w:t xml:space="preserve"> </w:t>
      </w:r>
      <w:r>
        <w:t xml:space="preserve">(Evers et al., 2021; Teller et al., 2016; Tenhumberg et al., 2018)</w:t>
      </w:r>
      <w:r>
        <w:t xml:space="preserve">.</w:t>
      </w:r>
      <w:r>
        <w:t xml:space="preserve"> </w:t>
      </w:r>
      <w:r>
        <w:t xml:space="preserve">We also found that the delayed responses of populations in fragments can differ significantly in magnitude, direction, and lag time from those of populations in continuous forest.</w:t>
      </w:r>
      <w:r>
        <w:t xml:space="preserve"> </w:t>
      </w:r>
      <w:r>
        <w:t xml:space="preserve">This suggests that the hypothesized synergies between climate and fragmentation on population dynamics</w:t>
      </w:r>
      <w:r>
        <w:t xml:space="preserve"> </w:t>
      </w:r>
      <w:r>
        <w:t xml:space="preserve">(Laurance &amp; Williamson, 2001; Opdam &amp; Wascher, 2004; Selwood et al., 2015)</w:t>
      </w:r>
      <w:r>
        <w:t xml:space="preserve"> </w:t>
      </w:r>
      <w:r>
        <w:t xml:space="preserve">are likely to be pervasive, but also far more complex than previously thought.</w:t>
      </w:r>
    </w:p>
    <w:bookmarkStart w:id="34" w:name="X3a355de2d331eab387e1cf5babe24db8f9038e8"/>
    <w:p>
      <w:pPr>
        <w:pStyle w:val="Heading2"/>
      </w:pPr>
      <w:r>
        <w:t xml:space="preserve">Temporal variation in demographic responses to forest fragmentation</w:t>
      </w:r>
    </w:p>
    <w:p>
      <w:pPr>
        <w:pStyle w:val="FirstParagraph"/>
      </w:pPr>
      <w:r>
        <w:t xml:space="preserve">Many studies investigating the biological consequences of habitat fragmentation on plant growth, survival, and reproduction comprise short-term (</w:t>
      </w:r>
      <w:r>
        <w:rPr>
          <w:u w:val="single"/>
        </w:rPr>
        <w:t xml:space="preserve">&lt;</w:t>
      </w:r>
      <w:r>
        <w:t xml:space="preserve">3 year) experiments and observations.</w:t>
      </w:r>
      <w:r>
        <w:t xml:space="preserve"> </w:t>
      </w:r>
      <w:r>
        <w:t xml:space="preserve">Our results underscore the difficulty in extrapolating long-term trends from such short-term studies, particularly when studying long-lived organisms or when the responses of interest can vary with size or age.</w:t>
      </w:r>
      <w:r>
        <w:t xml:space="preserve"> </w:t>
      </w:r>
      <w:r>
        <w:t xml:space="preserve">For instance, one would have reached a very different conclusion regarding the effect of fragmentation on annual survival if the study windows were 1999–2002 (i.e., higher survival in continuous forest), 2002–2005 (i.e., higher survival in fragments), or 2004–2007 (i.e, no clear effect of fragmentation) (Figure</w:t>
      </w:r>
      <w:r>
        <w:t xml:space="preserve"> </w:t>
      </w:r>
      <w:r>
        <w:t xml:space="preserve">1</w:t>
      </w:r>
      <w:r>
        <w:t xml:space="preserve">b). It is only when evaluating over longer time windows that it becomes apparent mortality is elevated in fragments relative to continuous forest (Figure</w:t>
      </w:r>
      <w:r>
        <w:t xml:space="preserve"> </w:t>
      </w:r>
      <w:r>
        <w:t xml:space="preserve">2</w:t>
      </w:r>
      <w:r>
        <w:t xml:space="preserve">), and that the observed interannual variation is largely driven by dynamic patterns of recruitment</w:t>
      </w:r>
      <w:r>
        <w:t xml:space="preserve"> </w:t>
      </w:r>
      <w:r>
        <w:t xml:space="preserve">(Bruna, 2002)</w:t>
      </w:r>
      <w:r>
        <w:t xml:space="preserve"> </w:t>
      </w:r>
      <w:r>
        <w:t xml:space="preserve">coupled with low mortality for plants beyond the smallest size classes</w:t>
      </w:r>
      <w:r>
        <w:t xml:space="preserve"> </w:t>
      </w:r>
      <w:r>
        <w:t xml:space="preserve">(Bruna, 2003)</w:t>
      </w:r>
      <w:r>
        <w:t xml:space="preserve">.</w:t>
      </w:r>
    </w:p>
    <w:p>
      <w:pPr>
        <w:pStyle w:val="BodyText"/>
      </w:pPr>
      <w:r>
        <w:t xml:space="preserve">Similarly, conclusions regarding the effects of fragmentation on flowering—which is also both rare and size-dependent</w:t>
      </w:r>
      <w:r>
        <w:t xml:space="preserve"> </w:t>
      </w:r>
      <w:r>
        <w:t xml:space="preserve">(Brooks et al., 2019)</w:t>
      </w:r>
      <w:r>
        <w:t xml:space="preserve">—would also differ based on the year in which they were investigated.</w:t>
      </w:r>
      <w:r>
        <w:t xml:space="preserve"> </w:t>
      </w:r>
      <w:r>
        <w:t xml:space="preserve">This could lead to erroneous extrapolations regarding the effects of fragmentation on reproductive mutualists or population genetic structure</w:t>
      </w:r>
      <w:r>
        <w:t xml:space="preserve"> </w:t>
      </w:r>
      <w:r>
        <w:t xml:space="preserve">(Côrtes et al., 2013; Uriarte et al., 2010; Uriarte et al., 2011)</w:t>
      </w:r>
      <w:r>
        <w:t xml:space="preserve">.</w:t>
      </w:r>
      <w:r>
        <w:t xml:space="preserve"> </w:t>
      </w:r>
      <w:r>
        <w:t xml:space="preserve">Conclusions based on short-term observations of temporally variable vital rates could lead to conservation and management practices that are ineffective or even counterproductive, especially when when failing to consider how the consequences of this variation might be modulated by organismal life history</w:t>
      </w:r>
      <w:r>
        <w:t xml:space="preserve"> </w:t>
      </w:r>
      <w:r>
        <w:t xml:space="preserve">(Morris et al., 2008)</w:t>
      </w:r>
      <w:r>
        <w:t xml:space="preserve">.</w:t>
      </w:r>
    </w:p>
    <w:p>
      <w:pPr>
        <w:pStyle w:val="BodyText"/>
      </w:pPr>
      <w:r>
        <w:t xml:space="preserve">It is important to emphasize, however, that the overall effects of SPEI on survival and growth are more severe in fragments than continuous forest (Figures</w:t>
      </w:r>
      <w:r>
        <w:t xml:space="preserve"> </w:t>
      </w:r>
      <w:r>
        <w:t xml:space="preserve">4</w:t>
      </w:r>
      <w:r>
        <w:t xml:space="preserve">,</w:t>
      </w:r>
      <w:r>
        <w:t xml:space="preserve"> </w:t>
      </w:r>
      <w:r>
        <w:t xml:space="preserve">5</w:t>
      </w:r>
      <w:r>
        <w:t xml:space="preserve">). Furthermore, the magnitude of plant responses to climatic extremes is also greater in habitat fragments—extreme drought in dry seasons and extreme precipitation in during rainy seasons are most detrimental to growth and survival in fragments. While intact forest and its canopy buffer populations from climatic extremes, populations in fragments—especially near edges with high contrast matrix—likely lack this protection</w:t>
      </w:r>
      <w:r>
        <w:t xml:space="preserve"> </w:t>
      </w:r>
      <w:r>
        <w:t xml:space="preserve">(Didham &amp; Lawton, 1999; Ewers &amp; Banks-Leite, 2013)</w:t>
      </w:r>
      <w:r>
        <w:t xml:space="preserve">. We suggest it is these climate extremes, rather than trends in average temperature, precipitation, or SPEI</w:t>
      </w:r>
      <w:r>
        <w:t xml:space="preserve"> </w:t>
      </w:r>
      <w:r>
        <w:t xml:space="preserve">(Laurance et al., 2014)</w:t>
      </w:r>
      <w:r>
        <w:t xml:space="preserve">, that that are the causal mechanism underlying reduced plant growth and survival in forest fragments.</w:t>
      </w:r>
    </w:p>
    <w:bookmarkEnd w:id="34"/>
    <w:bookmarkStart w:id="35" w:name="X59863ed4986d1622f189b45ac64fd89f4b5ea62"/>
    <w:p>
      <w:pPr>
        <w:pStyle w:val="Heading2"/>
      </w:pPr>
      <w:r>
        <w:t xml:space="preserve">Delayed effects of climate on demographic vital rates</w:t>
      </w:r>
    </w:p>
    <w:p>
      <w:pPr>
        <w:pStyle w:val="FirstParagraph"/>
      </w:pPr>
      <w:r>
        <w:t xml:space="preserve">Climate anomalies are known to have immediate effects on the growth, survival, or reproduction of plants</w:t>
      </w:r>
      <w:r>
        <w:t xml:space="preserve"> </w:t>
      </w:r>
      <w:r>
        <w:t xml:space="preserve">(Esteban et al., 2021; Wright &amp; Calderon, 2006)</w:t>
      </w:r>
      <w:r>
        <w:t xml:space="preserve">, including</w:t>
      </w:r>
      <w:r>
        <w:t xml:space="preserve"> </w:t>
      </w:r>
      <w:r>
        <w:rPr>
          <w:iCs/>
          <w:i/>
        </w:rPr>
        <w:t xml:space="preserve">Heliconia</w:t>
      </w:r>
      <w:r>
        <w:t xml:space="preserve"> </w:t>
      </w:r>
      <w:r>
        <w:t xml:space="preserve">(Stiles, 1975; Westerband et al., 2017)</w:t>
      </w:r>
      <w:r>
        <w:t xml:space="preserve"> </w:t>
      </w:r>
      <w:r>
        <w:t xml:space="preserve">and other tropical herbs</w:t>
      </w:r>
      <w:r>
        <w:t xml:space="preserve"> </w:t>
      </w:r>
      <w:r>
        <w:t xml:space="preserve">(Wright, 1992)</w:t>
      </w:r>
      <w:r>
        <w:t xml:space="preserve">.</w:t>
      </w:r>
      <w:r>
        <w:t xml:space="preserve"> </w:t>
      </w:r>
      <w:r>
        <w:t xml:space="preserve">These effects can be complex or even contradictory—mild droughts can increase the growth rates of tropical trees and seedling survival, perhaps due to reductions in cloud cover and concomitant increases in solar radiation</w:t>
      </w:r>
      <w:r>
        <w:t xml:space="preserve"> </w:t>
      </w:r>
      <w:r>
        <w:t xml:space="preserve">(Alfaro-Sánchez et al., 2017; Condit et al., 2004; Huete et al., 2006; Jones et al., 2014;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w:t>
      </w:r>
      <w:r>
        <w:t xml:space="preserve"> </w:t>
      </w:r>
      <w:r>
        <w:t xml:space="preserve">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et al., 2013; Wright et al., 1999)</w:t>
      </w:r>
      <w:r>
        <w:t xml:space="preserve">.</w:t>
      </w:r>
    </w:p>
    <w:p>
      <w:pPr>
        <w:pStyle w:val="BodyText"/>
      </w:pPr>
      <w:r>
        <w:t xml:space="preserve">Despite these insights, models of plant population dynamics rarely include the effects of environmental drivers [but see</w:t>
      </w:r>
      <w:r>
        <w:t xml:space="preserve"> </w:t>
      </w:r>
      <w:r>
        <w:t xml:space="preserve">Williams et al. (2015)</w:t>
      </w:r>
      <w:r>
        <w:t xml:space="preserve">;</w:t>
      </w:r>
      <w:r>
        <w:t xml:space="preserve"> </w:t>
      </w:r>
      <w:r>
        <w:t xml:space="preserve">Tenhumberg et al. (2018)</w:t>
      </w:r>
      <w:r>
        <w:t xml:space="preserve">;</w:t>
      </w:r>
      <w:r>
        <w:t xml:space="preserve"> </w:t>
      </w:r>
      <w:r>
        <w:t xml:space="preserve">Molowny-Horas et al. (2017)</w:t>
      </w:r>
      <w:r>
        <w:t xml:space="preserve">).</w:t>
      </w:r>
      <w:r>
        <w:t xml:space="preserve"> </w:t>
      </w:r>
      <w:r>
        <w:t xml:space="preserve">This has largely been due to the challenge (both ecologically and statistically) of detecting any demographic responses to climatic extremes that are delayed for multiple growing seasons.</w:t>
      </w:r>
      <w:r>
        <w:t xml:space="preserve"> </w:t>
      </w:r>
      <w:r>
        <w:t xml:space="preserve">To address this,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Teller et al., 2016; Tenhumberg et al., 2018)</w:t>
      </w:r>
      <w:r>
        <w:t xml:space="preserve">.</w:t>
      </w:r>
      <w:r>
        <w:t xml:space="preserve"> </w:t>
      </w:r>
      <w:r>
        <w:t xml:space="preserve">Our expansion of this approach, which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yielded results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clearly indicate that they can, with habitat-specific differences in how environmental conditions influenced future vital rates.</w:t>
      </w:r>
      <w:r>
        <w:t xml:space="preserve"> </w:t>
      </w:r>
      <w:r>
        <w:t xml:space="preserve">For example, extreme values of SPEI—both positive (unusually high precipitation) and negative (drought conditions)—led to declines in the probability of individual survival in both habitat types.</w:t>
      </w:r>
      <w:r>
        <w:t xml:space="preserve"> </w:t>
      </w:r>
      <w:r>
        <w:t xml:space="preserve">However, the magnitude of these declines was far greater in forest fragments.</w:t>
      </w:r>
      <w:r>
        <w:t xml:space="preserve"> </w:t>
      </w:r>
      <w:r>
        <w:t xml:space="preserve">Similarly, the detrimental effects of extremes in SPEI on growth rates were also more pronounced in fragments.</w:t>
      </w:r>
      <w:r>
        <w:t xml:space="preserve"> </w:t>
      </w:r>
      <w:r>
        <w:t xml:space="preserve">In contrast, variation in SPEI had far stronger effects on the probability of flowering in continuous forest than fragments.</w:t>
      </w:r>
      <w:r>
        <w:t xml:space="preserve"> </w:t>
      </w:r>
      <w:r>
        <w:t xml:space="preserve">These results should be interpreted with some caution, however, as the relatively low number of plants in fragments that are above the threshold-size for flowering could limit the power to detect delayed effects.</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w:t>
      </w:r>
      <w:r>
        <w:t xml:space="preserve"> </w:t>
      </w:r>
      <w:r>
        <w:t xml:space="preserve">For example, the flowering shoots of</w:t>
      </w:r>
      <w:r>
        <w:t xml:space="preserve"> </w:t>
      </w:r>
      <w:r>
        <w:rPr>
          <w:iCs/>
          <w:i/>
        </w:rPr>
        <w:t xml:space="preserve">Heliconia chartacea</w:t>
      </w:r>
      <w:r>
        <w:t xml:space="preserve"> </w:t>
      </w:r>
      <w:r>
        <w:t xml:space="preserve">begin to develop 6–10 months prior to the appearance of inflorescences</w:t>
      </w:r>
      <w:r>
        <w:t xml:space="preserve"> </w:t>
      </w:r>
      <w:r>
        <w:t xml:space="preserve">(Criley &amp; Lekawatana, 1994)</w:t>
      </w:r>
      <w:r>
        <w:t xml:space="preserve">.</w:t>
      </w:r>
      <w:r>
        <w:t xml:space="preserve"> </w:t>
      </w:r>
      <w:r>
        <w:t xml:space="preserve">Adverse conditions during the 6 months following initiation, rather than the months when inflorescences are starting to expand, leads to the aborted production of flowering shoots.</w:t>
      </w:r>
      <w:r>
        <w:t xml:space="preserve"> </w:t>
      </w:r>
      <w:r>
        <w:t xml:space="preserve">Interestingly, we observed the opposite effect—drought conditions increased the probability of flowering two years later.</w:t>
      </w:r>
      <w:r>
        <w:t xml:space="preserve"> </w:t>
      </w:r>
      <w:r>
        <w:t xml:space="preserve">While this could reflect bet-hedging in response to stress</w:t>
      </w:r>
      <w:r>
        <w:t xml:space="preserve"> </w:t>
      </w:r>
      <w:r>
        <w:t xml:space="preserve">(Nihad et al., 2018)</w:t>
      </w:r>
      <w:r>
        <w:t xml:space="preserve">, this does not appear to be the case, as growth or survival do not appear to decrease following reproduction (see also</w:t>
      </w:r>
      <w:r>
        <w:t xml:space="preserve"> </w:t>
      </w:r>
      <w:r>
        <w:t xml:space="preserve">(Horvitz &amp; Schemske, 1988)</w:t>
      </w:r>
      <w:r>
        <w:t xml:space="preserve">. In fact, flowering in one year is associated with increased reproduction and growth in the next</w:t>
      </w:r>
      <w:r>
        <w:t xml:space="preserve"> </w:t>
      </w:r>
      <w:r>
        <w:t xml:space="preserve">.</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w:t>
      </w:r>
      <w:r>
        <w:t xml:space="preserve"> </w:t>
      </w:r>
      <w:r>
        <w:t xml:space="preserve">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w:t>
      </w:r>
      <w:r>
        <w:t xml:space="preserve"> </w:t>
      </w:r>
      <w:r>
        <w:t xml:space="preserve">This may be why drought led to delayed increases in growth—by shedding shoots and leaves</w:t>
      </w:r>
      <w:r>
        <w:t xml:space="preserve"> </w:t>
      </w:r>
      <w:r>
        <w:t xml:space="preserve">(Bruna et al., 2002)</w:t>
      </w:r>
      <w:r>
        <w:t xml:space="preserve"> </w:t>
      </w:r>
      <w:r>
        <w:t xml:space="preserve">and investing in rhizomes, plants are generating proportionately more buds with which to regenerate when conditions improve.</w:t>
      </w:r>
      <w:r>
        <w:t xml:space="preserve"> </w:t>
      </w:r>
      <w:r>
        <w:t xml:space="preserve">This would also be consistent with the results of prior experiments, in which the growth rates of</w:t>
      </w:r>
      <w:r>
        <w:t xml:space="preserve"> </w:t>
      </w:r>
      <w:r>
        <w:rPr>
          <w:iCs/>
          <w:i/>
        </w:rPr>
        <w:t xml:space="preserve">H. acuminata</w:t>
      </w:r>
      <w:r>
        <w:t xml:space="preserve"> </w:t>
      </w:r>
      <w:r>
        <w:t xml:space="preserve">8 months after they were mechanically damaged far exceeded those of control plants</w:t>
      </w:r>
      <w:r>
        <w:t xml:space="preserve"> </w:t>
      </w:r>
      <w:r>
        <w:t xml:space="preserve">(Bruna &amp; Ribeiro, 2005)</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w:t>
      </w:r>
      <w:r>
        <w:t xml:space="preserve"> </w:t>
      </w:r>
      <w:r>
        <w:t xml:space="preserve">For example, topical trees may not die until three or more years after a drought</w:t>
      </w:r>
      <w:r>
        <w:t xml:space="preserve"> </w:t>
      </w:r>
      <w:r>
        <w:t xml:space="preserve">(Criley &amp; Lekawatana, 1994)</w:t>
      </w:r>
      <w:r>
        <w:t xml:space="preserve">.</w:t>
      </w:r>
      <w:r>
        <w:t xml:space="preserve"> </w:t>
      </w:r>
      <w:r>
        <w:t xml:space="preserve">When they finally do, the resulting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 triggering a boom in the growth and flowering of understory plants</w:t>
      </w:r>
      <w:r>
        <w:t xml:space="preserve"> </w:t>
      </w:r>
      <w:r>
        <w:t xml:space="preserve">(Bruna &amp; Oli, 2005)</w:t>
      </w:r>
      <w:r>
        <w:t xml:space="preserve">.</w:t>
      </w:r>
      <w:r>
        <w:t xml:space="preserve"> </w:t>
      </w:r>
      <w:r>
        <w:t xml:space="preserve">Similar delayed changes in the local environment could also influence the foraging behavior of a plant’s pollinators</w:t>
      </w:r>
      <w:r>
        <w:t xml:space="preserve"> </w:t>
      </w:r>
      <w:r>
        <w:t xml:space="preserve">(Bruna et al., 2004; Stouffer &amp; Bierregaard, 1996)</w:t>
      </w:r>
      <w:r>
        <w:t xml:space="preserve">, seed dispersers</w:t>
      </w:r>
      <w:r>
        <w:t xml:space="preserve"> </w:t>
      </w:r>
      <w:r>
        <w:t xml:space="preserve">(Uriarte et al., 2011)</w:t>
      </w:r>
      <w:r>
        <w:t xml:space="preserve">, or herbivores</w:t>
      </w:r>
      <w:r>
        <w:t xml:space="preserve"> </w:t>
      </w:r>
      <w:r>
        <w:t xml:space="preserve">(Scott et al., 2021)</w:t>
      </w:r>
      <w:r>
        <w:t xml:space="preserve">.</w:t>
      </w:r>
      <w:r>
        <w:t xml:space="preserve"> </w:t>
      </w:r>
      <w:r>
        <w:t xml:space="preserve">While more work is needed to explain why the (delayed) effects of SPEI on</w:t>
      </w:r>
      <w:r>
        <w:t xml:space="preserve"> </w:t>
      </w:r>
      <w:r>
        <w:rPr>
          <w:iCs/>
          <w:i/>
        </w:rPr>
        <w:t xml:space="preserve">H. acuminata</w:t>
      </w:r>
      <w:r>
        <w:t xml:space="preserve"> </w:t>
      </w:r>
      <w:r>
        <w:t xml:space="preserve">survival and growth are greater in fragments than forest interiors, one hypothesis, motivated by recent intriguing results from other systems</w:t>
      </w:r>
      <w:r>
        <w:t xml:space="preserve"> </w:t>
      </w:r>
      <w:r>
        <w:t xml:space="preserve">(Sapsford et al., 2017)</w:t>
      </w:r>
      <w:r>
        <w:t xml:space="preserve">, is that the greater litterfall on edges</w:t>
      </w:r>
      <w:r>
        <w:t xml:space="preserve"> </w:t>
      </w:r>
      <w:r>
        <w:t xml:space="preserve">(Vasconcelos &amp; Luizão, 2004)</w:t>
      </w:r>
      <w:r>
        <w:t xml:space="preserve"> </w:t>
      </w:r>
      <w:r>
        <w:t xml:space="preserve">may be altering the abundance of pathogens or mycorrhizae.</w:t>
      </w:r>
    </w:p>
    <w:p>
      <w:pPr>
        <w:pStyle w:val="BodyText"/>
      </w:pPr>
      <w:r>
        <w:t xml:space="preserve">Finally, demographic delays could be an artifact of the timing of responses in relation to the census date.</w:t>
      </w:r>
      <w:r>
        <w:t xml:space="preserve"> </w:t>
      </w:r>
      <w:r>
        <w:t xml:space="preserve">If extreme drought in the dry season before the census increased plant mortality during that season, for example, this would nevertheless appear in models as a delayed effect (e.g. in Figure</w:t>
      </w:r>
      <w:r>
        <w:t xml:space="preserve"> </w:t>
      </w:r>
      <w:r>
        <w:t xml:space="preserve">4</w:t>
      </w:r>
      <w:r>
        <w:t xml:space="preserve">b).</w:t>
      </w:r>
      <w:r>
        <w:t xml:space="preserve"> </w:t>
      </w:r>
      <w:r>
        <w:t xml:space="preserve">In our case, this potential explanation for delayed effects applies only to plant size and survival, as plots were surveyed regularly throughout the reproductive season to identify flowering plants.</w:t>
      </w:r>
      <w:r>
        <w:t xml:space="preserve"> </w:t>
      </w:r>
      <w:r>
        <w:t xml:space="preserve">This possibility is not unique to our study, rather it is a consequence of conducting demographic censuses on an annual scale while the climate is quantified monthly or seasonally.</w:t>
      </w:r>
      <w:r>
        <w:t xml:space="preserve"> </w:t>
      </w:r>
      <w:r>
        <w:t xml:space="preserve">While the very slow growth and extremely low mortality rates of</w:t>
      </w:r>
      <w:r>
        <w:t xml:space="preserve"> </w:t>
      </w:r>
      <w:r>
        <w:rPr>
          <w:iCs/>
          <w:i/>
        </w:rPr>
        <w:t xml:space="preserve">H. acuminata</w:t>
      </w:r>
      <w:r>
        <w:t xml:space="preserve"> </w:t>
      </w:r>
      <w:r>
        <w:t xml:space="preserve">mean this effect is unlikely to be acting in our system, it may be that for some species it will be important to conduct demographic surveys at the same temporal scale at which climate is aggregated.</w:t>
      </w:r>
    </w:p>
    <w:bookmarkEnd w:id="35"/>
    <w:bookmarkStart w:id="36" w:name="conclusions-future-directions"/>
    <w:p>
      <w:pPr>
        <w:pStyle w:val="Heading2"/>
      </w:pPr>
      <w:r>
        <w:t xml:space="preserve">Conclusions &amp; Future Directions</w:t>
      </w:r>
    </w:p>
    <w:p>
      <w:pPr>
        <w:pStyle w:val="FirstParagraph"/>
      </w:pPr>
      <w:r>
        <w:t xml:space="preserve">Over 24 million ha of the Brazilian Amazon have been cleared in the last two decades</w:t>
      </w:r>
      <w:r>
        <w:t xml:space="preserve"> </w:t>
      </w:r>
      <w:r>
        <w:t xml:space="preserve">(Silva Junior et al., 2021)</w:t>
      </w:r>
      <w:r>
        <w:t xml:space="preserve">, resulting in their extensive fragmentation</w:t>
      </w:r>
      <w:r>
        <w:t xml:space="preserve"> </w:t>
      </w:r>
      <w:r>
        <w:t xml:space="preserve">(Broadbent et al., 2008)</w:t>
      </w:r>
      <w:r>
        <w:t xml:space="preserve">.</w:t>
      </w:r>
      <w:r>
        <w:t xml:space="preserve"> </w:t>
      </w:r>
      <w:r>
        <w:t xml:space="preserve">Climate models predict a future of extremes for these forests—increases in the frequency and geographic extent of droughts, but also increases in the frequency and area affected by periods of unusual wetness</w:t>
      </w:r>
      <w:r>
        <w:t xml:space="preserve"> </w:t>
      </w:r>
      <w:r>
        <w:t xml:space="preserve">(Duffy et al., 2015b)</w:t>
      </w:r>
      <w:r>
        <w:t xml:space="preserve">.</w:t>
      </w:r>
      <w:r>
        <w:t xml:space="preserve"> </w:t>
      </w:r>
      <w:r>
        <w:t xml:space="preserve">Our results support the hypothesis that populations in Amazonian forest fragments could be more susceptible to the effects of changing climate than those in continuous forest</w:t>
      </w:r>
      <w:r>
        <w:t xml:space="preserve"> </w:t>
      </w:r>
      <w:r>
        <w:t xml:space="preserve">(Laurance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w:t>
      </w:r>
      <w:r>
        <w:t xml:space="preserve"> </w:t>
      </w:r>
      <w:r>
        <w:t xml:space="preserve">(</w:t>
      </w:r>
      <w:r>
        <w:rPr>
          <w:iCs/>
          <w:i/>
        </w:rPr>
        <w:t xml:space="preserve">sensu</w:t>
      </w:r>
      <w:r>
        <w:t xml:space="preserve"> </w:t>
      </w:r>
      <w:r>
        <w:t xml:space="preserve">Aguirre et al., 2021; Bruna &amp; Ribeiro, 2005; Markewitz et al., 2010; Westerband et al., 2017)</w:t>
      </w:r>
      <w:r>
        <w:t xml:space="preserve">, ideally manipulating multiple combinations of climatic variables</w:t>
      </w:r>
      <w:r>
        <w:t xml:space="preserve"> </w:t>
      </w:r>
      <w:r>
        <w:t xml:space="preserve">(Mundim &amp; Bruna, 2016)</w:t>
      </w:r>
      <w:r>
        <w:t xml:space="preserve">, are needed to determine how and why habitat-specific differences in environmental conditions interact to delay the demographic responses of plants to climatic variability.</w:t>
      </w:r>
      <w:r>
        <w:t xml:space="preserve"> </w:t>
      </w:r>
      <w:r>
        <w:t xml:space="preserve">Also needed are statistical tools that can test for synergistic effects of fragmentation and climate in vital rates, as those currently available do not allow for including interaction terms.</w:t>
      </w:r>
      <w:r>
        <w:t xml:space="preserve"> </w:t>
      </w:r>
      <w:r>
        <w:t xml:space="preserve">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is rarely measured at the same time scale (e.g. monthly) as climate drivers.</w:t>
      </w:r>
    </w:p>
    <w:p>
      <w:pPr>
        <w:pStyle w:val="BodyText"/>
      </w:pPr>
      <w:r>
        <w:t xml:space="preserve">Recent research, including our own presented here, shows that lagged effects of climate drivers on demography may be the norm</w:t>
      </w:r>
      <w:r>
        <w:t xml:space="preserve"> </w:t>
      </w:r>
      <w:r>
        <w:t xml:space="preserve">(Evers et al., 2021)</w:t>
      </w:r>
      <w:r>
        <w:t xml:space="preserve">.</w:t>
      </w:r>
      <w:r>
        <w:t xml:space="preserve"> </w:t>
      </w:r>
      <w:r>
        <w:t xml:space="preserve">As such, we suggest that all demographers investigate the possibility of lagged environmental effects, ideally using methods that do not require an</w:t>
      </w:r>
      <w:r>
        <w:t xml:space="preserve"> </w:t>
      </w:r>
      <w:r>
        <w:rPr>
          <w:iCs/>
          <w:i/>
        </w:rPr>
        <w:t xml:space="preserve">a priori</w:t>
      </w:r>
      <w:r>
        <w:t xml:space="preserve"> </w:t>
      </w:r>
      <w:r>
        <w:t xml:space="preserve">choice of lag times such as DLNMs, automated algorithms for choosing critical weather windows</w:t>
      </w:r>
      <w:r>
        <w:t xml:space="preserve">(</w:t>
      </w:r>
      <w:r>
        <w:rPr>
          <w:bCs/>
          <w:b/>
        </w:rPr>
        <w:t xml:space="preserve">vandepolIdentifyingBestClimatic2016?</w:t>
      </w:r>
      <w:r>
        <w:t xml:space="preserve">)</w:t>
      </w:r>
      <w:r>
        <w:t xml:space="preserve">, or Bayesian methods that incorporate</w:t>
      </w:r>
      <w:r>
        <w:t xml:space="preserve"> </w:t>
      </w:r>
      <w:r>
        <w:t xml:space="preserve">“</w:t>
      </w:r>
      <w:r>
        <w:t xml:space="preserve">ecological memory</w:t>
      </w:r>
      <w:r>
        <w:t xml:space="preserve">”</w:t>
      </w:r>
      <w:r>
        <w:t xml:space="preserve"> </w:t>
      </w:r>
      <w:r>
        <w:t xml:space="preserve">(Ogle et al., 2015)</w:t>
      </w:r>
      <w:r>
        <w:t xml:space="preserve">.</w:t>
      </w:r>
    </w:p>
    <w:p>
      <w:pPr>
        <w:pStyle w:val="BodyText"/>
      </w:pPr>
      <w:r>
        <w:t xml:space="preserve">Finally, any analytical approach for assessing lagged effects on demography requires long-term data and/or data collected from many sites with independent weather (but similar climate and site conditions)</w:t>
      </w:r>
      <w:r>
        <w:t xml:space="preserve"> </w:t>
      </w:r>
      <w:r>
        <w:t xml:space="preserve">(Evers et al., 2021; Tenhumberg et al., 2018)</w:t>
      </w:r>
      <w:r>
        <w:t xml:space="preserve"> </w:t>
      </w:r>
      <w:r>
        <w:t xml:space="preserve">.</w:t>
      </w:r>
      <w:r>
        <w:t xml:space="preserve"> </w:t>
      </w:r>
      <w:r>
        <w:t xml:space="preserve">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r>
        <w:t xml:space="preserve"> </w:t>
      </w:r>
      <w:r>
        <w:t xml:space="preserve">More generally, however, researchers need to consider how delayed responses to climate could influence the interpretation of data in studies where the organisms lifespan exceeds the study’s duration.</w:t>
      </w:r>
    </w:p>
    <w:bookmarkEnd w:id="36"/>
    <w:bookmarkEnd w:id="37"/>
    <w:bookmarkStart w:id="38" w:name="acknowledgments"/>
    <w:p>
      <w:pPr>
        <w:pStyle w:val="Heading1"/>
      </w:pPr>
      <w:r>
        <w:t xml:space="preserve">Acknowledgments</w:t>
      </w:r>
    </w:p>
    <w:p>
      <w:pPr>
        <w:pStyle w:val="FirstParagraph"/>
      </w:pPr>
      <w:r>
        <w:t xml:space="preserve">We thank Collin Edwards, Andrew Mercadante, Ellie McDaniel, ___, ___, and ___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___ in the BDFFP Technical Series.</w:t>
      </w:r>
      <w:r>
        <w:t xml:space="preserve"> </w:t>
      </w:r>
      <w:r>
        <w:t xml:space="preserve">The authors delcare no conflicts of interest.</w:t>
      </w:r>
    </w:p>
    <w:bookmarkEnd w:id="38"/>
    <w:bookmarkStart w:id="39" w:name="data-availability-statement"/>
    <w:p>
      <w:pPr>
        <w:pStyle w:val="Heading1"/>
      </w:pPr>
      <w:r>
        <w:t xml:space="preserve">Data Availability Statement</w:t>
      </w:r>
    </w:p>
    <w:p>
      <w:pPr>
        <w:pStyle w:val="FirstParagraph"/>
      </w:pPr>
      <w:r>
        <w:t xml:space="preserve">Data used in this study are available at the Dryad Digital Repository; R code for analyses and visualizations are archived at Zenodo [links included upon acceptance].</w:t>
      </w:r>
    </w:p>
    <w:bookmarkEnd w:id="39"/>
    <w:bookmarkStart w:id="46" w:name="figures"/>
    <w:p>
      <w:pPr>
        <w:pStyle w:val="Heading1"/>
      </w:pPr>
      <w:r>
        <w:t xml:space="preserve">Figures</w:t>
      </w:r>
    </w:p>
    <w:p>
      <w:pPr>
        <w:pStyle w:val="CaptionedFigure"/>
      </w:pPr>
      <w:r>
        <w:drawing>
          <wp:inline>
            <wp:extent cx="5943600" cy="5943600"/>
            <wp:effectExtent b="0" l="0" r="0" t="0"/>
            <wp:docPr descr="Figure 1: (a-c) Time series of H. acuminata vital rates in 1-ha fragments (solid orange lines) and continuous forest (dashed blue lines) and (d) drought occurrence in the study region. (a) Mean fold-change in plant plant size (log2(sizet+1 / sizet))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1 (CF in 2003-2004). (c) The proportion of H. acuminata 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 title="" id="1" name="Picture"/>
            <a:graphic>
              <a:graphicData uri="http://schemas.openxmlformats.org/drawingml/2006/picture">
                <pic:pic>
                  <pic:nvPicPr>
                    <pic:cNvPr descr="figures/eda-1.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(a-c) Time series of</w:t>
      </w:r>
      <w:r>
        <w:t xml:space="preserve"> </w:t>
      </w:r>
      <w:r>
        <w:rPr>
          <w:iCs/>
          <w:i/>
        </w:rPr>
        <w:t xml:space="preserve">H. acuminata</w:t>
      </w:r>
      <w:r>
        <w:t xml:space="preserve"> </w:t>
      </w:r>
      <w:r>
        <w:t xml:space="preserve">vital rates in 1-ha fragments (solid orange lines) and continuous forest (dashed blue lines) and (d) drought occurrence in the study region. (a) Mean fold-change in plant plant size (log2(size</w:t>
      </w:r>
      <w:r>
        <w:rPr>
          <w:vertAlign w:val="subscript"/>
        </w:rPr>
        <w:t xml:space="preserve">t+1</w:t>
      </w:r>
      <w:r>
        <w:t xml:space="preserve"> </w:t>
      </w:r>
      <w:r>
        <w:t xml:space="preserve">/ size</w:t>
      </w:r>
      <w:r>
        <w:rPr>
          <w:vertAlign w:val="subscript"/>
        </w:rPr>
        <w:t xml:space="preserve">t</w:t>
      </w:r>
      <w:r>
        <w:t xml:space="preserve">))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0.91 (CF in 2003-2004). (c) The proportion of</w:t>
      </w:r>
      <w:r>
        <w:t xml:space="preserve"> </w:t>
      </w:r>
      <w:r>
        <w:rPr>
          <w:iCs/>
          <w:i/>
        </w:rPr>
        <w:t xml:space="preserve">H. acuminata</w:t>
      </w:r>
      <w:r>
        <w:t xml:space="preserve"> </w:t>
      </w:r>
      <w:r>
        <w:t xml:space="preserve">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w:t>
      </w:r>
    </w:p>
    <w:p>
      <w:pPr>
        <w:pStyle w:val="CaptionedFigure"/>
      </w:pPr>
      <w:r>
        <w:drawing>
          <wp:inline>
            <wp:extent cx="5943600" cy="2971800"/>
            <wp:effectExtent b="0" l="0" r="0" t="0"/>
            <wp:docPr descr="Figure 2: Survivorship curve for plants marked in the 1998 survey year; these plants comprise 49% of those in the complete demographic dataset. The percentage of these plants that were still alive ten years later was 79.7% (1629/2055) in continuous forest vs. 72.4% (393/543) in 1-ha fragments." title="" id="1" name="Picture"/>
            <a:graphic>
              <a:graphicData uri="http://schemas.openxmlformats.org/drawingml/2006/picture">
                <pic:pic>
                  <pic:nvPicPr>
                    <pic:cNvPr descr="figures/surv-curve-1.png" id="0" name="Picture"/>
                    <pic:cNvPicPr>
                      <a:picLocks noChangeArrowheads="1" noChangeAspect="1"/>
                    </pic:cNvPicPr>
                  </pic:nvPicPr>
                  <pic:blipFill>
                    <a:blip r:embed="rId4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Survivorship curve for plants marked in the 1998 survey year; these plants comprise 49% of those in the complete demographic dataset. The percentage of these plants that were still alive ten years later was 79.7% (1629/2055) in continuous forest vs. 72.4% (393/543) in 1-ha fragments.</w:t>
      </w:r>
    </w:p>
    <w:p>
      <w:pPr>
        <w:pStyle w:val="CaptionedFigure"/>
      </w:pPr>
      <w:r>
        <w:drawing>
          <wp:inline>
            <wp:extent cx="5943600" cy="5943600"/>
            <wp:effectExtent b="0" l="0" r="0" t="0"/>
            <wp:docPr descr="Figure 3: Marginal effect of plant size in the previous census on (a) survival, (b) log(size), and (c) flowering probability. Plots a–c were created by evaluating the smooth functions of log(size_t) at observed values, adding the model intercepts, and back-transforming (when appropriate) to the response scale (e.g. probability for a and c).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 title="" id="1" name="Picture"/>
            <a:graphic>
              <a:graphicData uri="http://schemas.openxmlformats.org/drawingml/2006/picture">
                <pic:pic>
                  <pic:nvPicPr>
                    <pic:cNvPr descr="figures/size-plot-1.png" id="0" name="Picture"/>
                    <pic:cNvPicPr>
                      <a:picLocks noChangeArrowheads="1" noChangeAspect="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Marginal effect of plant size in the previous census on (a) survival, (b) log(size), and (c) flowering probability. Plots a–c were created by evaluating the smooth functions of</w:t>
      </w:r>
      <w:r>
        <w:t xml:space="preserve"> </w:t>
      </w:r>
      <m:oMath>
        <m:r>
          <m:t>l</m:t>
        </m:r>
        <m:r>
          <m:t>o</m:t>
        </m:r>
        <m:r>
          <m:t>g</m:t>
        </m:r>
        <m:d>
          <m:dPr>
            <m:begChr m:val="("/>
            <m:endChr m:val=")"/>
            <m:grow/>
          </m:dPr>
          <m:e>
            <m:r>
              <m:t>s</m:t>
            </m:r>
            <m:r>
              <m:t>i</m:t>
            </m:r>
            <m:r>
              <m:t>z</m:t>
            </m:r>
            <m:sSub>
              <m:e>
                <m:r>
                  <m:t>e</m:t>
                </m:r>
              </m:e>
              <m:sub>
                <m:r>
                  <m:t>t</m:t>
                </m:r>
              </m:sub>
            </m:sSub>
          </m:e>
        </m:d>
      </m:oMath>
      <w:r>
        <w:t xml:space="preserve"> </w:t>
      </w:r>
      <w:r>
        <w:t xml:space="preserve">at observed values, adding the model intercepts, and back-transforming (when appropriate) to the response scale (e.g. probability for a and c).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w:t>
      </w:r>
    </w:p>
    <w:p>
      <w:pPr>
        <w:pStyle w:val="CaptionedFigure"/>
      </w:pPr>
      <w:r>
        <w:drawing>
          <wp:inline>
            <wp:extent cx="5943600" cy="6368142"/>
            <wp:effectExtent b="0" l="0" r="0" t="0"/>
            <wp:docPr descr="Figure 4: Marginal effect of lagged SPEI on H. acuminata survival in (a) continuous forest, (b) 1-ha fragments, (c) and the difference between the two. Outlines show combinations of SPEI and lag time that have a significant effect on survival,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nd values were back-transformed to the response scale (i.e. probabilities). Areas of the fitted smooth far from observed values (i.e. combinations of lag time and SPEI) are shown in grey." title="" id="1" name="Picture"/>
            <a:graphic>
              <a:graphicData uri="http://schemas.openxmlformats.org/drawingml/2006/picture">
                <pic:pic>
                  <pic:nvPicPr>
                    <pic:cNvPr descr="figures/surv-spei-1.png" id="0" name="Picture"/>
                    <pic:cNvPicPr>
                      <a:picLocks noChangeArrowheads="1" noChangeAspect="1"/>
                    </pic:cNvPicPr>
                  </pic:nvPicPr>
                  <pic:blipFill>
                    <a:blip r:embed="rId43"/>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4: Marginal effect of lagged SPEI on</w:t>
      </w:r>
      <w:r>
        <w:t xml:space="preserve"> </w:t>
      </w:r>
      <w:r>
        <w:rPr>
          <w:iCs/>
          <w:i/>
        </w:rPr>
        <w:t xml:space="preserve">H. acuminata</w:t>
      </w:r>
      <w:r>
        <w:t xml:space="preserve"> </w:t>
      </w:r>
      <w:r>
        <w:t xml:space="preserve">survival in (a) continuous forest, (b) 1-ha fragments, (c) and the difference between the two. Outlines show combinations of SPEI and lag time that have a significant effect on survival,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and values were back-transformed to the response scale (i.e. probabilities). Areas of the fitted smooth far from observed values (i.e. combinations of lag time and SPEI) are shown in grey.</w:t>
      </w:r>
    </w:p>
    <w:p>
      <w:pPr>
        <w:pStyle w:val="CaptionedFigure"/>
      </w:pPr>
      <w:r>
        <w:drawing>
          <wp:inline>
            <wp:extent cx="5943600" cy="6368142"/>
            <wp:effectExtent b="0" l="0" r="0" t="0"/>
            <wp:docPr descr="Figure 5: Marginal effect of lagged SPEI on H. acuminata size in (a) continuous forest, (b) 1-ha fragments, (c) and the difference between the two. Outlines show combinations of SPEI and lag time that have a significant effect on plant size,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reas of the fitted smooth far from observed values (i.e. combinations of lag time and SPEI) are shown in grey." title="" id="1" name="Picture"/>
            <a:graphic>
              <a:graphicData uri="http://schemas.openxmlformats.org/drawingml/2006/picture">
                <pic:pic>
                  <pic:nvPicPr>
                    <pic:cNvPr descr="figures/growth-spei-1.png" id="0" name="Picture"/>
                    <pic:cNvPicPr>
                      <a:picLocks noChangeArrowheads="1" noChangeAspect="1"/>
                    </pic:cNvPicPr>
                  </pic:nvPicPr>
                  <pic:blipFill>
                    <a:blip r:embed="rId44"/>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5: Marginal effect of lagged SPEI on</w:t>
      </w:r>
      <w:r>
        <w:t xml:space="preserve"> </w:t>
      </w:r>
      <w:r>
        <w:rPr>
          <w:iCs/>
          <w:i/>
        </w:rPr>
        <w:t xml:space="preserve">H. acuminata</w:t>
      </w:r>
      <w:r>
        <w:t xml:space="preserve"> </w:t>
      </w:r>
      <w:r>
        <w:t xml:space="preserve">size in (a) continuous forest, (b) 1-ha fragments, (c) and the difference between the two. Outlines show combinations of SPEI and lag time that have a significant effect on plant size,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Areas of the fitted smooth far from observed values (i.e. combinations of lag time and SPEI) are shown in grey.</w:t>
      </w:r>
    </w:p>
    <w:p>
      <w:pPr>
        <w:pStyle w:val="CaptionedFigure"/>
      </w:pPr>
      <w:r>
        <w:drawing>
          <wp:inline>
            <wp:extent cx="5943600" cy="6368142"/>
            <wp:effectExtent b="0" l="0" r="0" t="0"/>
            <wp:docPr descr="Figure 6: Marginal effect of lagged SPEI on H. acuminata flowering probability in (a) continuous forest, (b) 1-ha fragments, (c) and the difference between the two. Outlines show combinations of SPEI and lag time that have a significant effect on probability of flowering,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nd values were back-transformed to the response scale (i.e. probabilities). Areas of the fitted smooth far from observed values (i.e. combinations of lag time and SPEI) are shown in grey." title="" id="1" name="Picture"/>
            <a:graphic>
              <a:graphicData uri="http://schemas.openxmlformats.org/drawingml/2006/picture">
                <pic:pic>
                  <pic:nvPicPr>
                    <pic:cNvPr descr="figures/flwr-spei-1.png" id="0" name="Picture"/>
                    <pic:cNvPicPr>
                      <a:picLocks noChangeArrowheads="1" noChangeAspect="1"/>
                    </pic:cNvPicPr>
                  </pic:nvPicPr>
                  <pic:blipFill>
                    <a:blip r:embed="rId45"/>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6: Marginal effect of lagged SPEI on</w:t>
      </w:r>
      <w:r>
        <w:t xml:space="preserve"> </w:t>
      </w:r>
      <w:r>
        <w:rPr>
          <w:iCs/>
          <w:i/>
        </w:rPr>
        <w:t xml:space="preserve">H. acuminata</w:t>
      </w:r>
      <w:r>
        <w:t xml:space="preserve"> </w:t>
      </w:r>
      <w:r>
        <w:t xml:space="preserve">flowering probability in (a) continuous forest, (b) 1-ha fragments, (c) and the difference between the two. Outlines show combinations of SPEI and lag time that have a significant effect on probability of flowering,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and values were back-transformed to the response scale (i.e. probabilities). Areas of the fitted smooth far from observed values (i.e. combinations of lag time and SPEI) are shown in grey.</w:t>
      </w:r>
    </w:p>
    <w:bookmarkEnd w:id="46"/>
    <w:bookmarkStart w:id="277" w:name="references"/>
    <w:p>
      <w:pPr>
        <w:pStyle w:val="Heading1"/>
      </w:pPr>
      <w:r>
        <w:t xml:space="preserve">References</w:t>
      </w:r>
    </w:p>
    <w:bookmarkStart w:id="276" w:name="refs"/>
    <w:bookmarkStart w:id="48" w:name="ref-aguirre2021"/>
    <w:p>
      <w:pPr>
        <w:pStyle w:val="Bibliography"/>
      </w:pPr>
      <w:r>
        <w:t xml:space="preserve">Aguirre, B. A., Hsieh, B., Watson, S. J., &amp; Wright, A. J. (2021). The experimental manipulation of atmospheric drought:</w:t>
      </w:r>
      <w:r>
        <w:t xml:space="preserve"> </w:t>
      </w:r>
      <w:r>
        <w:t xml:space="preserve">Teasing</w:t>
      </w:r>
      <w:r>
        <w:t xml:space="preserve"> </w:t>
      </w:r>
      <w:r>
        <w:t xml:space="preserve">out the role of microclimate in biodiversity experiments.</w:t>
      </w:r>
      <w:r>
        <w:t xml:space="preserve"> </w:t>
      </w:r>
      <w:r>
        <w:rPr>
          <w:iCs/>
          <w:i/>
        </w:rPr>
        <w:t xml:space="preserve">Journal of Ecology</w:t>
      </w:r>
      <w:r>
        <w:t xml:space="preserve">,</w:t>
      </w:r>
      <w:r>
        <w:t xml:space="preserve"> </w:t>
      </w:r>
      <w:r>
        <w:rPr>
          <w:iCs/>
          <w:i/>
        </w:rPr>
        <w:t xml:space="preserve">109</w:t>
      </w:r>
      <w:r>
        <w:t xml:space="preserve">(5), 1986–1999. https://doi.org/</w:t>
      </w:r>
      <w:hyperlink r:id="rId47">
        <w:r>
          <w:rPr>
            <w:rStyle w:val="Hyperlink"/>
          </w:rPr>
          <w:t xml:space="preserve">https://doi.org/10.1111/1365-2745.13595</w:t>
        </w:r>
      </w:hyperlink>
    </w:p>
    <w:bookmarkEnd w:id="48"/>
    <w:bookmarkStart w:id="50"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49">
        <w:r>
          <w:rPr>
            <w:rStyle w:val="Hyperlink"/>
          </w:rPr>
          <w:t xml:space="preserve">https://doi.org/10.1007/s00442-017-3879-3</w:t>
        </w:r>
      </w:hyperlink>
    </w:p>
    <w:bookmarkEnd w:id="50"/>
    <w:bookmarkStart w:id="52" w:name="ref-alroy2017"/>
    <w:p>
      <w:pPr>
        <w:pStyle w:val="Bibliography"/>
      </w:pPr>
      <w:r>
        <w:t xml:space="preserve">Alroy, J. (2017). Effects of habitat disturbance on tropical forest biodiversity.</w:t>
      </w:r>
      <w:r>
        <w:t xml:space="preserve"> </w:t>
      </w:r>
      <w:r>
        <w:rPr>
          <w:iCs/>
          <w:i/>
        </w:rPr>
        <w:t xml:space="preserve">Proceedings of the National Academy of Sciences</w:t>
      </w:r>
      <w:r>
        <w:t xml:space="preserve">,</w:t>
      </w:r>
      <w:r>
        <w:t xml:space="preserve"> </w:t>
      </w:r>
      <w:r>
        <w:rPr>
          <w:iCs/>
          <w:i/>
        </w:rPr>
        <w:t xml:space="preserve">114</w:t>
      </w:r>
      <w:r>
        <w:t xml:space="preserve">(23), 6056–6061.</w:t>
      </w:r>
      <w:r>
        <w:t xml:space="preserve"> </w:t>
      </w:r>
      <w:hyperlink r:id="rId51">
        <w:r>
          <w:rPr>
            <w:rStyle w:val="Hyperlink"/>
          </w:rPr>
          <w:t xml:space="preserve">https://doi.org/10.1073/pnas.1611855114</w:t>
        </w:r>
      </w:hyperlink>
    </w:p>
    <w:bookmarkEnd w:id="52"/>
    <w:bookmarkStart w:id="54"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53">
        <w:r>
          <w:rPr>
            <w:rStyle w:val="Hyperlink"/>
          </w:rPr>
          <w:t xml:space="preserve">https://doi.org/10.1126/science.aab1833</w:t>
        </w:r>
      </w:hyperlink>
    </w:p>
    <w:bookmarkEnd w:id="54"/>
    <w:bookmarkStart w:id="56"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55">
        <w:r>
          <w:rPr>
            <w:rStyle w:val="Hyperlink"/>
          </w:rPr>
          <w:t xml:space="preserve">https://doi.org/10.1007/s11284-016-1411-6</w:t>
        </w:r>
      </w:hyperlink>
    </w:p>
    <w:bookmarkEnd w:id="56"/>
    <w:bookmarkStart w:id="58"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w:t>
      </w:r>
      <w:r>
        <w:t xml:space="preserve"> </w:t>
      </w:r>
      <w:hyperlink r:id="rId57">
        <w:r>
          <w:rPr>
            <w:rStyle w:val="Hyperlink"/>
          </w:rPr>
          <w:t xml:space="preserve">https://CRAN.R-project.org/package=SPEI</w:t>
        </w:r>
      </w:hyperlink>
    </w:p>
    <w:bookmarkEnd w:id="58"/>
    <w:bookmarkStart w:id="60"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59">
        <w:r>
          <w:rPr>
            <w:rStyle w:val="Hyperlink"/>
          </w:rPr>
          <w:t xml:space="preserve">https://doi.org/10.1126/science.aax9387</w:t>
        </w:r>
      </w:hyperlink>
    </w:p>
    <w:bookmarkEnd w:id="60"/>
    <w:bookmarkStart w:id="62" w:name="ref-bianchi2013"/>
    <w:p>
      <w:pPr>
        <w:pStyle w:val="Bibliography"/>
      </w:pPr>
      <w:r>
        <w:t xml:space="preserve">Bianchi, C. A., &amp; Haig, S. M. (2013). Deforestation trends of tropical dry forests in Central</w:t>
      </w:r>
      <w:r>
        <w:t xml:space="preserve"> </w:t>
      </w:r>
      <w:r>
        <w:t xml:space="preserve">Brazil</w:t>
      </w:r>
      <w:r>
        <w:t xml:space="preserve">.</w:t>
      </w:r>
      <w:r>
        <w:t xml:space="preserve"> </w:t>
      </w:r>
      <w:r>
        <w:rPr>
          <w:iCs/>
          <w:i/>
        </w:rPr>
        <w:t xml:space="preserve">Biotropica</w:t>
      </w:r>
      <w:r>
        <w:t xml:space="preserve">,</w:t>
      </w:r>
      <w:r>
        <w:t xml:space="preserve"> </w:t>
      </w:r>
      <w:r>
        <w:rPr>
          <w:iCs/>
          <w:i/>
        </w:rPr>
        <w:t xml:space="preserve">45</w:t>
      </w:r>
      <w:r>
        <w:t xml:space="preserve">(3), 395–400. https://doi.org/</w:t>
      </w:r>
      <w:hyperlink r:id="rId61">
        <w:r>
          <w:rPr>
            <w:rStyle w:val="Hyperlink"/>
          </w:rPr>
          <w:t xml:space="preserve">https://doi.org/10.1111/btp.12010</w:t>
        </w:r>
      </w:hyperlink>
    </w:p>
    <w:bookmarkEnd w:id="62"/>
    <w:bookmarkStart w:id="63"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63"/>
    <w:bookmarkStart w:id="65"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64">
        <w:r>
          <w:rPr>
            <w:rStyle w:val="Hyperlink"/>
          </w:rPr>
          <w:t xml:space="preserve">https://doi.org/10.2307/1312085</w:t>
        </w:r>
      </w:hyperlink>
    </w:p>
    <w:bookmarkEnd w:id="65"/>
    <w:bookmarkStart w:id="67"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6">
        <w:r>
          <w:rPr>
            <w:rStyle w:val="Hyperlink"/>
          </w:rPr>
          <w:t xml:space="preserve">https://doi.org/10.1016/j.biocon.2008.04.024</w:t>
        </w:r>
      </w:hyperlink>
    </w:p>
    <w:bookmarkEnd w:id="67"/>
    <w:bookmarkStart w:id="69"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68">
        <w:r>
          <w:rPr>
            <w:rStyle w:val="Hyperlink"/>
          </w:rPr>
          <w:t xml:space="preserve">https://doi.org/10.1016/j.tree.2011.09.008</w:t>
        </w:r>
      </w:hyperlink>
    </w:p>
    <w:bookmarkEnd w:id="69"/>
    <w:bookmarkStart w:id="71" w:name="Xd9a3bd1329c6c20d22e55df67fa574f2966a95c"/>
    <w:p>
      <w:pPr>
        <w:pStyle w:val="Bibliography"/>
      </w:pPr>
      <w:r>
        <w:t xml:space="preserve">Brooks, M. E., Kristensen, K., Darrigo, M. R., Rubim, P., Uriarte, M., Bruna, E. M., &amp; Bolker, B. M. (2019). Statistical modeling of patterns in annual reproductive rates.</w:t>
      </w:r>
      <w:r>
        <w:t xml:space="preserve"> </w:t>
      </w:r>
      <w:r>
        <w:rPr>
          <w:iCs/>
          <w:i/>
        </w:rPr>
        <w:t xml:space="preserve">Ecology</w:t>
      </w:r>
      <w:r>
        <w:t xml:space="preserve">,</w:t>
      </w:r>
      <w:r>
        <w:t xml:space="preserve"> </w:t>
      </w:r>
      <w:r>
        <w:rPr>
          <w:iCs/>
          <w:i/>
        </w:rPr>
        <w:t xml:space="preserve">100</w:t>
      </w:r>
      <w:r>
        <w:t xml:space="preserve">(7).</w:t>
      </w:r>
      <w:r>
        <w:t xml:space="preserve"> </w:t>
      </w:r>
      <w:hyperlink r:id="rId70">
        <w:r>
          <w:rPr>
            <w:rStyle w:val="Hyperlink"/>
          </w:rPr>
          <w:t xml:space="preserve">https://doi.org/10.1002/ecy.2706</w:t>
        </w:r>
      </w:hyperlink>
    </w:p>
    <w:bookmarkEnd w:id="71"/>
    <w:bookmarkStart w:id="73"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72">
        <w:r>
          <w:rPr>
            <w:rStyle w:val="Hyperlink"/>
          </w:rPr>
          <w:t xml:space="preserve">https://doi.org/10.1038/45963</w:t>
        </w:r>
      </w:hyperlink>
    </w:p>
    <w:bookmarkEnd w:id="73"/>
    <w:bookmarkStart w:id="75"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74">
        <w:r>
          <w:rPr>
            <w:rStyle w:val="Hyperlink"/>
          </w:rPr>
          <w:t xml:space="preserve">https://doi.org/10.1007/s00442-002-0956-y</w:t>
        </w:r>
      </w:hyperlink>
    </w:p>
    <w:bookmarkEnd w:id="75"/>
    <w:bookmarkStart w:id="77" w:name="ref-brunaArePlantPopulations2003"/>
    <w:p>
      <w:pPr>
        <w:pStyle w:val="Bibliography"/>
      </w:pPr>
      <w:r>
        <w:t xml:space="preserve">Bruna, E. M. (2003). Are plant populations in fragmented habitats recruitment limited?</w:t>
      </w:r>
      <w:r>
        <w:t xml:space="preserve"> </w:t>
      </w:r>
      <w:r>
        <w:t xml:space="preserve">Tests</w:t>
      </w:r>
      <w:r>
        <w:t xml:space="preserve"> </w:t>
      </w:r>
      <w:r>
        <w:t xml:space="preserve">with an</w:t>
      </w:r>
      <w:r>
        <w:t xml:space="preserve"> </w:t>
      </w:r>
      <w:r>
        <w:t xml:space="preserve">Amazonian</w:t>
      </w:r>
      <w:r>
        <w:t xml:space="preserve"> </w:t>
      </w:r>
      <w:r>
        <w:t xml:space="preserve">herb.</w:t>
      </w:r>
      <w:r>
        <w:t xml:space="preserve"> </w:t>
      </w:r>
      <w:r>
        <w:rPr>
          <w:iCs/>
          <w:i/>
        </w:rPr>
        <w:t xml:space="preserve">Ecology</w:t>
      </w:r>
      <w:r>
        <w:t xml:space="preserve">,</w:t>
      </w:r>
      <w:r>
        <w:t xml:space="preserve"> </w:t>
      </w:r>
      <w:r>
        <w:rPr>
          <w:iCs/>
          <w:i/>
        </w:rPr>
        <w:t xml:space="preserve">84</w:t>
      </w:r>
      <w:r>
        <w:t xml:space="preserve">(4), 932–947.</w:t>
      </w:r>
      <w:r>
        <w:t xml:space="preserve"> </w:t>
      </w:r>
      <w:hyperlink r:id="rId76">
        <w:r>
          <w:rPr>
            <w:rStyle w:val="Hyperlink"/>
          </w:rPr>
          <w:t xml:space="preserve">https://doi.org/10.1890/0012-9658(2003)084[0932:APPIFH]2.0.CO;2</w:t>
        </w:r>
      </w:hyperlink>
    </w:p>
    <w:bookmarkEnd w:id="77"/>
    <w:bookmarkStart w:id="79"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78">
        <w:r>
          <w:rPr>
            <w:rStyle w:val="Hyperlink"/>
          </w:rPr>
          <w:t xml:space="preserve">https://doi.org/10.1111/j.1654-1103.2009.01060.x</w:t>
        </w:r>
      </w:hyperlink>
    </w:p>
    <w:bookmarkEnd w:id="79"/>
    <w:bookmarkStart w:id="81"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80">
        <w:r>
          <w:rPr>
            <w:rStyle w:val="Hyperlink"/>
          </w:rPr>
          <w:t xml:space="preserve">https://doi.org/10.1046/j.1523-1739.2002.99494.x</w:t>
        </w:r>
      </w:hyperlink>
    </w:p>
    <w:bookmarkEnd w:id="81"/>
    <w:bookmarkStart w:id="83"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82">
        <w:r>
          <w:rPr>
            <w:rStyle w:val="Hyperlink"/>
          </w:rPr>
          <w:t xml:space="preserve">https://doi.org/10.1590/S0044-59672004000300012</w:t>
        </w:r>
      </w:hyperlink>
    </w:p>
    <w:bookmarkEnd w:id="83"/>
    <w:bookmarkStart w:id="85"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84">
        <w:r>
          <w:rPr>
            <w:rStyle w:val="Hyperlink"/>
          </w:rPr>
          <w:t xml:space="preserve">https://doi.org/10.1046/j.1365-2745.2002.00707.x</w:t>
        </w:r>
      </w:hyperlink>
    </w:p>
    <w:bookmarkEnd w:id="85"/>
    <w:bookmarkStart w:id="87" w:name="ref-brunaDemographicEffectsHabitat2005"/>
    <w:p>
      <w:pPr>
        <w:pStyle w:val="Bibliography"/>
      </w:pPr>
      <w:r>
        <w:t xml:space="preserve">Bruna, E. M., &amp; Oli, M. K. (2005). Demographic effects of habitat fragmentation on a tropical herb:</w:t>
      </w:r>
      <w:r>
        <w:t xml:space="preserve"> </w:t>
      </w:r>
      <w:r>
        <w:t xml:space="preserve">Life</w:t>
      </w:r>
      <w:r>
        <w:t xml:space="preserve">-table response experiments.</w:t>
      </w:r>
      <w:r>
        <w:t xml:space="preserve"> </w:t>
      </w:r>
      <w:r>
        <w:rPr>
          <w:iCs/>
          <w:i/>
        </w:rPr>
        <w:t xml:space="preserve">Ecology</w:t>
      </w:r>
      <w:r>
        <w:t xml:space="preserve">,</w:t>
      </w:r>
      <w:r>
        <w:t xml:space="preserve"> </w:t>
      </w:r>
      <w:r>
        <w:rPr>
          <w:iCs/>
          <w:i/>
        </w:rPr>
        <w:t xml:space="preserve">86</w:t>
      </w:r>
      <w:r>
        <w:t xml:space="preserve">(7), 1816–1824.</w:t>
      </w:r>
      <w:r>
        <w:t xml:space="preserve"> </w:t>
      </w:r>
      <w:hyperlink r:id="rId86">
        <w:r>
          <w:rPr>
            <w:rStyle w:val="Hyperlink"/>
          </w:rPr>
          <w:t xml:space="preserve">https://doi.org/10.1890/04-1716</w:t>
        </w:r>
      </w:hyperlink>
    </w:p>
    <w:bookmarkEnd w:id="87"/>
    <w:bookmarkStart w:id="89"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88">
        <w:r>
          <w:rPr>
            <w:rStyle w:val="Hyperlink"/>
          </w:rPr>
          <w:t xml:space="preserve">https://doi.org/10.3732/ajb.92.12.2101</w:t>
        </w:r>
      </w:hyperlink>
    </w:p>
    <w:bookmarkEnd w:id="89"/>
    <w:bookmarkStart w:id="91"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90">
        <w:r>
          <w:rPr>
            <w:rStyle w:val="Hyperlink"/>
          </w:rPr>
          <w:t xml:space="preserve">https://doi.org/10.1139/x90-084</w:t>
        </w:r>
      </w:hyperlink>
    </w:p>
    <w:bookmarkEnd w:id="91"/>
    <w:bookmarkStart w:id="93"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92">
        <w:r>
          <w:rPr>
            <w:rStyle w:val="Hyperlink"/>
          </w:rPr>
          <w:t xml:space="preserve">https://doi.org/10.1017/S0266467403001081</w:t>
        </w:r>
      </w:hyperlink>
    </w:p>
    <w:bookmarkEnd w:id="93"/>
    <w:bookmarkStart w:id="94"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94"/>
    <w:bookmarkStart w:id="96"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95">
        <w:r>
          <w:rPr>
            <w:rStyle w:val="Hyperlink"/>
          </w:rPr>
          <w:t xml:space="preserve">https://doi.org/10.1111/mec.12495</w:t>
        </w:r>
      </w:hyperlink>
    </w:p>
    <w:bookmarkEnd w:id="96"/>
    <w:bookmarkStart w:id="98"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97">
        <w:r>
          <w:rPr>
            <w:rStyle w:val="Hyperlink"/>
          </w:rPr>
          <w:t xml:space="preserve">https://doi.org/10.17660/ActaHortic.1995.397.7</w:t>
        </w:r>
      </w:hyperlink>
    </w:p>
    <w:bookmarkEnd w:id="98"/>
    <w:bookmarkStart w:id="99"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99"/>
    <w:bookmarkStart w:id="101" w:name="ref-dasilva2000"/>
    <w:p>
      <w:pPr>
        <w:pStyle w:val="Bibliography"/>
      </w:pPr>
      <w:r>
        <w:t xml:space="preserve">da Silva, J. M. C., &amp; Tabarelli, M. (2000). Tree species impoverishment and the future flora of the</w:t>
      </w:r>
      <w:r>
        <w:t xml:space="preserve"> </w:t>
      </w:r>
      <w:r>
        <w:t xml:space="preserve">Atlantic</w:t>
      </w:r>
      <w:r>
        <w:t xml:space="preserve"> </w:t>
      </w:r>
      <w:r>
        <w:t xml:space="preserve">forest of northeast</w:t>
      </w:r>
      <w:r>
        <w:t xml:space="preserve"> </w:t>
      </w:r>
      <w:r>
        <w:t xml:space="preserve">Brazil</w:t>
      </w:r>
      <w:r>
        <w:t xml:space="preserve">.</w:t>
      </w:r>
      <w:r>
        <w:t xml:space="preserve"> </w:t>
      </w:r>
      <w:r>
        <w:rPr>
          <w:iCs/>
          <w:i/>
        </w:rPr>
        <w:t xml:space="preserve">Nature</w:t>
      </w:r>
      <w:r>
        <w:t xml:space="preserve">,</w:t>
      </w:r>
      <w:r>
        <w:t xml:space="preserve"> </w:t>
      </w:r>
      <w:r>
        <w:rPr>
          <w:iCs/>
          <w:i/>
        </w:rPr>
        <w:t xml:space="preserve">404</w:t>
      </w:r>
      <w:r>
        <w:t xml:space="preserve">(6773), 72–74.</w:t>
      </w:r>
      <w:r>
        <w:t xml:space="preserve"> </w:t>
      </w:r>
      <w:hyperlink r:id="rId100">
        <w:r>
          <w:rPr>
            <w:rStyle w:val="Hyperlink"/>
          </w:rPr>
          <w:t xml:space="preserve">https://doi.org/10.1038/35003563</w:t>
        </w:r>
      </w:hyperlink>
    </w:p>
    <w:bookmarkEnd w:id="101"/>
    <w:bookmarkStart w:id="103"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102">
        <w:r>
          <w:rPr>
            <w:rStyle w:val="Hyperlink"/>
          </w:rPr>
          <w:t xml:space="preserve">https://doi.org/10.1111/j.1600-0706.2011.20273.x</w:t>
        </w:r>
      </w:hyperlink>
    </w:p>
    <w:bookmarkEnd w:id="103"/>
    <w:bookmarkStart w:id="105"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104">
        <w:r>
          <w:rPr>
            <w:rStyle w:val="Hyperlink"/>
          </w:rPr>
          <w:t xml:space="preserve">https://doi.org/10.1111/j.1744-7429.1999.tb00113.x</w:t>
        </w:r>
      </w:hyperlink>
    </w:p>
    <w:bookmarkEnd w:id="105"/>
    <w:bookmarkStart w:id="106"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106"/>
    <w:bookmarkStart w:id="108"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07">
        <w:r>
          <w:rPr>
            <w:rStyle w:val="Hyperlink"/>
          </w:rPr>
          <w:t xml:space="preserve">https://doi.org/10.1016/j.tree.2013.06.010</w:t>
        </w:r>
      </w:hyperlink>
    </w:p>
    <w:bookmarkEnd w:id="108"/>
    <w:bookmarkStart w:id="110" w:name="X3c08d7f199236138f81943ac74824d35d86f65d"/>
    <w:p>
      <w:pPr>
        <w:pStyle w:val="Bibliography"/>
      </w:pPr>
      <w:r>
        <w:t xml:space="preserve">Duffy, P. B., Brando, P., Asner, G. P., &amp; Field, C. B. (2015a).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09">
        <w:r>
          <w:rPr>
            <w:rStyle w:val="Hyperlink"/>
          </w:rPr>
          <w:t xml:space="preserve">https://doi.org/10.1073/pnas.1421010112</w:t>
        </w:r>
      </w:hyperlink>
    </w:p>
    <w:bookmarkEnd w:id="110"/>
    <w:bookmarkStart w:id="111" w:name="ref-duffy2015"/>
    <w:p>
      <w:pPr>
        <w:pStyle w:val="Bibliography"/>
      </w:pPr>
      <w:r>
        <w:t xml:space="preserve">Duffy, P. B., Brando, P., Asner, G. P., &amp; Field, C. B. (2015b).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09">
        <w:r>
          <w:rPr>
            <w:rStyle w:val="Hyperlink"/>
          </w:rPr>
          <w:t xml:space="preserve">https://doi.org/10.1073/pnas.1421010112</w:t>
        </w:r>
      </w:hyperlink>
    </w:p>
    <w:bookmarkEnd w:id="111"/>
    <w:bookmarkStart w:id="113"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12">
        <w:r>
          <w:rPr>
            <w:rStyle w:val="Hyperlink"/>
          </w:rPr>
          <w:t xml:space="preserve">https://doi.org/10.1111/j.1744-7429.2006.00098.x</w:t>
        </w:r>
      </w:hyperlink>
    </w:p>
    <w:bookmarkEnd w:id="113"/>
    <w:bookmarkStart w:id="115"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14">
        <w:r>
          <w:rPr>
            <w:rStyle w:val="Hyperlink"/>
          </w:rPr>
          <w:t xml:space="preserve">https://doi.org/10.1111/1365-2745.12523</w:t>
        </w:r>
      </w:hyperlink>
    </w:p>
    <w:bookmarkEnd w:id="115"/>
    <w:bookmarkStart w:id="116"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16"/>
    <w:bookmarkStart w:id="118"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17">
        <w:r>
          <w:rPr>
            <w:rStyle w:val="Hyperlink"/>
          </w:rPr>
          <w:t xml:space="preserve">https://doi.org/10.1111/gcb.14413</w:t>
        </w:r>
      </w:hyperlink>
    </w:p>
    <w:bookmarkEnd w:id="118"/>
    <w:bookmarkStart w:id="120"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19">
        <w:r>
          <w:rPr>
            <w:rStyle w:val="Hyperlink"/>
          </w:rPr>
          <w:t xml:space="preserve">https://doi.org/10.1111/nph.17005</w:t>
        </w:r>
      </w:hyperlink>
    </w:p>
    <w:bookmarkEnd w:id="120"/>
    <w:bookmarkStart w:id="122"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27</w:t>
      </w:r>
      <w:r>
        <w:t xml:space="preserve">(9), 1927–1941.</w:t>
      </w:r>
      <w:r>
        <w:t xml:space="preserve"> </w:t>
      </w:r>
      <w:hyperlink r:id="rId121">
        <w:r>
          <w:rPr>
            <w:rStyle w:val="Hyperlink"/>
          </w:rPr>
          <w:t xml:space="preserve">https://doi.org/10.1111/gcb.15519</w:t>
        </w:r>
      </w:hyperlink>
    </w:p>
    <w:bookmarkEnd w:id="122"/>
    <w:bookmarkStart w:id="124"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23">
        <w:r>
          <w:rPr>
            <w:rStyle w:val="Hyperlink"/>
          </w:rPr>
          <w:t xml:space="preserve">https://doi.org/10.1371/journal.pone.0058093</w:t>
        </w:r>
      </w:hyperlink>
    </w:p>
    <w:bookmarkEnd w:id="124"/>
    <w:bookmarkStart w:id="126" w:name="ref-feeley2012"/>
    <w:p>
      <w:pPr>
        <w:pStyle w:val="Bibliography"/>
      </w:pPr>
      <w:r>
        <w:t xml:space="preserve">Feeley, K. J., Malhi, Y., Zelazowski, P., &amp; Silman, M. R. (2012). The relative importance of deforestation, precipitation change, and temperature sensitivity in determining the future distributions and diversity of Amazonian plant species.</w:t>
      </w:r>
      <w:r>
        <w:t xml:space="preserve"> </w:t>
      </w:r>
      <w:r>
        <w:rPr>
          <w:iCs/>
          <w:i/>
        </w:rPr>
        <w:t xml:space="preserve">Global Change Biology</w:t>
      </w:r>
      <w:r>
        <w:t xml:space="preserve">,</w:t>
      </w:r>
      <w:r>
        <w:t xml:space="preserve"> </w:t>
      </w:r>
      <w:r>
        <w:rPr>
          <w:iCs/>
          <w:i/>
        </w:rPr>
        <w:t xml:space="preserve">18</w:t>
      </w:r>
      <w:r>
        <w:t xml:space="preserve">(8), 2636–2647.</w:t>
      </w:r>
      <w:r>
        <w:t xml:space="preserve"> </w:t>
      </w:r>
      <w:hyperlink r:id="rId125">
        <w:r>
          <w:rPr>
            <w:rStyle w:val="Hyperlink"/>
          </w:rPr>
          <w:t xml:space="preserve">https://doi.org/10.1111/j.1365-2486.2012.02719.x</w:t>
        </w:r>
      </w:hyperlink>
    </w:p>
    <w:bookmarkEnd w:id="126"/>
    <w:bookmarkStart w:id="128"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27">
        <w:r>
          <w:rPr>
            <w:rStyle w:val="Hyperlink"/>
          </w:rPr>
          <w:t xml:space="preserve">https://doi.org/10.1016/j.biocon.2010.11.015</w:t>
        </w:r>
      </w:hyperlink>
    </w:p>
    <w:bookmarkEnd w:id="128"/>
    <w:bookmarkStart w:id="130"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29">
        <w:r>
          <w:rPr>
            <w:rStyle w:val="Hyperlink"/>
          </w:rPr>
          <w:t xml:space="preserve">https://doi.org/10.1016/j.ecolmodel.2019.03.007</w:t>
        </w:r>
      </w:hyperlink>
    </w:p>
    <w:bookmarkEnd w:id="130"/>
    <w:bookmarkStart w:id="132"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31">
        <w:r>
          <w:rPr>
            <w:rStyle w:val="Hyperlink"/>
          </w:rPr>
          <w:t xml:space="preserve">https://doi.org/10.18637/jss.v043.i08</w:t>
        </w:r>
      </w:hyperlink>
    </w:p>
    <w:bookmarkEnd w:id="132"/>
    <w:bookmarkStart w:id="134"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33">
        <w:r>
          <w:rPr>
            <w:rStyle w:val="Hyperlink"/>
          </w:rPr>
          <w:t xml:space="preserve">https://doi.org/10.1111/biom.12645</w:t>
        </w:r>
      </w:hyperlink>
    </w:p>
    <w:bookmarkEnd w:id="134"/>
    <w:bookmarkStart w:id="136"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35">
        <w:r>
          <w:rPr>
            <w:rStyle w:val="Hyperlink"/>
          </w:rPr>
          <w:t xml:space="preserve">https://doi.org/10.2307/2388737</w:t>
        </w:r>
      </w:hyperlink>
    </w:p>
    <w:bookmarkEnd w:id="136"/>
    <w:bookmarkStart w:id="138"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37">
        <w:r>
          <w:rPr>
            <w:rStyle w:val="Hyperlink"/>
          </w:rPr>
          <w:t xml:space="preserve">https://doi.org/10.1111/ele.13659</w:t>
        </w:r>
      </w:hyperlink>
    </w:p>
    <w:bookmarkEnd w:id="138"/>
    <w:bookmarkStart w:id="140"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39">
        <w:r>
          <w:rPr>
            <w:rStyle w:val="Hyperlink"/>
          </w:rPr>
          <w:t xml:space="preserve">https://doi.org/10.1126/sciadv.1500052</w:t>
        </w:r>
      </w:hyperlink>
    </w:p>
    <w:bookmarkEnd w:id="140"/>
    <w:bookmarkStart w:id="142"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41">
        <w:r>
          <w:rPr>
            <w:rStyle w:val="Hyperlink"/>
          </w:rPr>
          <w:t xml:space="preserve">https://doi.org/10.1111/1749-4877.12167</w:t>
        </w:r>
      </w:hyperlink>
    </w:p>
    <w:bookmarkEnd w:id="142"/>
    <w:bookmarkStart w:id="144" w:name="X364cfa7146cde0f32edd5641c26f27b76abda4e"/>
    <w:p>
      <w:pPr>
        <w:pStyle w:val="Bibliography"/>
      </w:pPr>
      <w:r>
        <w:t xml:space="preserve">Horvitz, C. C., &amp; Schemske, D. W.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w:t>
      </w:r>
      <w:r>
        <w:t xml:space="preserve"> </w:t>
      </w:r>
      <w:r>
        <w:rPr>
          <w:iCs/>
          <w:i/>
        </w:rPr>
        <w:t xml:space="preserve">Ecology</w:t>
      </w:r>
      <w:r>
        <w:t xml:space="preserve">,</w:t>
      </w:r>
      <w:r>
        <w:t xml:space="preserve"> </w:t>
      </w:r>
      <w:r>
        <w:rPr>
          <w:iCs/>
          <w:i/>
        </w:rPr>
        <w:t xml:space="preserve">69</w:t>
      </w:r>
      <w:r>
        <w:t xml:space="preserve">(6), 1741–1745.</w:t>
      </w:r>
      <w:r>
        <w:t xml:space="preserve"> </w:t>
      </w:r>
      <w:hyperlink r:id="rId143">
        <w:r>
          <w:rPr>
            <w:rStyle w:val="Hyperlink"/>
          </w:rPr>
          <w:t xml:space="preserve">https://doi.org/10.2307/1941152</w:t>
        </w:r>
      </w:hyperlink>
    </w:p>
    <w:bookmarkEnd w:id="144"/>
    <w:bookmarkStart w:id="146"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45">
        <w:r>
          <w:rPr>
            <w:rStyle w:val="Hyperlink"/>
          </w:rPr>
          <w:t xml:space="preserve">https://doi.org/10.1029/2005GL025583</w:t>
        </w:r>
      </w:hyperlink>
    </w:p>
    <w:bookmarkEnd w:id="146"/>
    <w:bookmarkStart w:id="148"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w:t>
      </w:r>
      <w:r>
        <w:t xml:space="preserve"> </w:t>
      </w:r>
      <w:hyperlink r:id="rId147">
        <w:r>
          <w:rPr>
            <w:rStyle w:val="Hyperlink"/>
          </w:rPr>
          <w:t xml:space="preserve">https://doi.org/10.5194/bg-2021-30</w:t>
        </w:r>
      </w:hyperlink>
    </w:p>
    <w:bookmarkEnd w:id="148"/>
    <w:bookmarkStart w:id="150"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49">
        <w:r>
          <w:rPr>
            <w:rStyle w:val="Hyperlink"/>
          </w:rPr>
          <w:t xml:space="preserve">https://doi.org/10.1088/1748-9326/9/12/124021</w:t>
        </w:r>
      </w:hyperlink>
    </w:p>
    <w:bookmarkEnd w:id="150"/>
    <w:bookmarkStart w:id="152"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51">
        <w:r>
          <w:rPr>
            <w:rStyle w:val="Hyperlink"/>
          </w:rPr>
          <w:t xml:space="preserve">https://doi.org/10.1111/ele.13485</w:t>
        </w:r>
      </w:hyperlink>
    </w:p>
    <w:bookmarkEnd w:id="152"/>
    <w:bookmarkStart w:id="154"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53">
        <w:r>
          <w:rPr>
            <w:rStyle w:val="Hyperlink"/>
          </w:rPr>
          <w:t xml:space="preserve">https://doi.org/10.1111/1365-2435.13145</w:t>
        </w:r>
      </w:hyperlink>
    </w:p>
    <w:bookmarkEnd w:id="154"/>
    <w:bookmarkStart w:id="155"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55"/>
    <w:bookmarkStart w:id="157" w:name="ref-landauTargetsPackageDynamic2021"/>
    <w:p>
      <w:pPr>
        <w:pStyle w:val="Bibliography"/>
      </w:pPr>
      <w:r>
        <w:t xml:space="preserve">Landau, W. M. (2021). The targets</w:t>
      </w:r>
      <w:r>
        <w:t xml:space="preserve"> </w:t>
      </w:r>
      <w:r>
        <w:t xml:space="preserve">R</w:t>
      </w:r>
      <w:r>
        <w:t xml:space="preserve"> </w:t>
      </w:r>
      <w:r>
        <w:t xml:space="preserve">package: A dynamic</w:t>
      </w:r>
      <w:r>
        <w:t xml:space="preserve"> </w:t>
      </w:r>
      <w:r>
        <w:t xml:space="preserve">Make</w:t>
      </w:r>
      <w:r>
        <w:t xml:space="preserve">-like function-oriented pipeline toolkit for reproducibility and high-performance computing.</w:t>
      </w:r>
      <w:r>
        <w:t xml:space="preserve"> </w:t>
      </w:r>
      <w:r>
        <w:rPr>
          <w:iCs/>
          <w:i/>
        </w:rPr>
        <w:t xml:space="preserve">Journal of Open Source Software</w:t>
      </w:r>
      <w:r>
        <w:t xml:space="preserve">,</w:t>
      </w:r>
      <w:r>
        <w:t xml:space="preserve"> </w:t>
      </w:r>
      <w:r>
        <w:rPr>
          <w:iCs/>
          <w:i/>
        </w:rPr>
        <w:t xml:space="preserve">6</w:t>
      </w:r>
      <w:r>
        <w:t xml:space="preserve">(57), 2959.</w:t>
      </w:r>
      <w:r>
        <w:t xml:space="preserve"> </w:t>
      </w:r>
      <w:hyperlink r:id="rId156">
        <w:r>
          <w:rPr>
            <w:rStyle w:val="Hyperlink"/>
          </w:rPr>
          <w:t xml:space="preserve">https://doi.org/ghwrqs</w:t>
        </w:r>
      </w:hyperlink>
    </w:p>
    <w:bookmarkEnd w:id="157"/>
    <w:bookmarkStart w:id="159"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58">
        <w:r>
          <w:rPr>
            <w:rStyle w:val="Hyperlink"/>
          </w:rPr>
          <w:t xml:space="preserve">https://doi.org/10.1890/14-0330.1</w:t>
        </w:r>
      </w:hyperlink>
    </w:p>
    <w:bookmarkEnd w:id="159"/>
    <w:bookmarkStart w:id="160"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60"/>
    <w:bookmarkStart w:id="162" w:name="ref-laurance2006"/>
    <w:p>
      <w:pPr>
        <w:pStyle w:val="Bibliography"/>
      </w:pPr>
      <w:r>
        <w:t xml:space="preserve">Laurance, W. F., Nascimento, H. E. M., Laurance, S. G., Andrade, A., Ribeiro, J. E. L. S., Giraldo, J. P., Lovejoy, T. E., Condit, R., Chave, J., Harms, K. E., &amp; D’Angelo, S. (2006). Rapid decay of tree-community composition in</w:t>
      </w:r>
      <w:r>
        <w:t xml:space="preserve"> </w:t>
      </w:r>
      <w:r>
        <w:t xml:space="preserve">Amazonian</w:t>
      </w:r>
      <w:r>
        <w:t xml:space="preserve"> </w:t>
      </w:r>
      <w:r>
        <w:t xml:space="preserve">forest fragments.</w:t>
      </w:r>
      <w:r>
        <w:t xml:space="preserve"> </w:t>
      </w:r>
      <w:r>
        <w:rPr>
          <w:iCs/>
          <w:i/>
        </w:rPr>
        <w:t xml:space="preserve">Proceedings of the National Academy of Sciences</w:t>
      </w:r>
      <w:r>
        <w:t xml:space="preserve">,</w:t>
      </w:r>
      <w:r>
        <w:t xml:space="preserve"> </w:t>
      </w:r>
      <w:r>
        <w:rPr>
          <w:iCs/>
          <w:i/>
        </w:rPr>
        <w:t xml:space="preserve">103</w:t>
      </w:r>
      <w:r>
        <w:t xml:space="preserve">(50), 19010–19014.</w:t>
      </w:r>
      <w:r>
        <w:t xml:space="preserve"> </w:t>
      </w:r>
      <w:hyperlink r:id="rId161">
        <w:r>
          <w:rPr>
            <w:rStyle w:val="Hyperlink"/>
          </w:rPr>
          <w:t xml:space="preserve">https://doi.org/10.1073/pnas.0609048103</w:t>
        </w:r>
      </w:hyperlink>
    </w:p>
    <w:bookmarkEnd w:id="162"/>
    <w:bookmarkStart w:id="164" w:name="ref-laurancePositiveFeedbacksForest2001"/>
    <w:p>
      <w:pPr>
        <w:pStyle w:val="Bibliography"/>
      </w:pPr>
      <w:r>
        <w:t xml:space="preserve">Laurance, W. F., &amp; Williamson, G. B. (2001). Positive feedbacks among forest fragmentation, drought, and climate change in the</w:t>
      </w:r>
      <w:r>
        <w:t xml:space="preserve"> </w:t>
      </w:r>
      <w:r>
        <w:t xml:space="preserve">Amazon</w:t>
      </w:r>
      <w:r>
        <w:t xml:space="preserve">.</w:t>
      </w:r>
      <w:r>
        <w:t xml:space="preserve"> </w:t>
      </w:r>
      <w:r>
        <w:rPr>
          <w:iCs/>
          <w:i/>
        </w:rPr>
        <w:t xml:space="preserve">Conservation Biology</w:t>
      </w:r>
      <w:r>
        <w:t xml:space="preserve">,</w:t>
      </w:r>
      <w:r>
        <w:t xml:space="preserve"> </w:t>
      </w:r>
      <w:r>
        <w:rPr>
          <w:iCs/>
          <w:i/>
        </w:rPr>
        <w:t xml:space="preserve">15</w:t>
      </w:r>
      <w:r>
        <w:t xml:space="preserve">(6), 1529–1535.</w:t>
      </w:r>
      <w:r>
        <w:t xml:space="preserve"> </w:t>
      </w:r>
      <w:hyperlink r:id="rId163">
        <w:r>
          <w:rPr>
            <w:rStyle w:val="Hyperlink"/>
          </w:rPr>
          <w:t xml:space="preserve">https://doi.org/10.1046/j.1523-1739.2001.01093.x</w:t>
        </w:r>
      </w:hyperlink>
    </w:p>
    <w:bookmarkEnd w:id="164"/>
    <w:bookmarkStart w:id="165"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65"/>
    <w:bookmarkStart w:id="167"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66">
        <w:r>
          <w:rPr>
            <w:rStyle w:val="Hyperlink"/>
          </w:rPr>
          <w:t xml:space="preserve">https://doi.org/10.1111/nph.15110</w:t>
        </w:r>
      </w:hyperlink>
    </w:p>
    <w:bookmarkEnd w:id="167"/>
    <w:bookmarkStart w:id="169"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68">
        <w:r>
          <w:rPr>
            <w:rStyle w:val="Hyperlink"/>
          </w:rPr>
          <w:t xml:space="preserve">https://doi.org/10.1175/2007JCLI1600.1</w:t>
        </w:r>
      </w:hyperlink>
    </w:p>
    <w:bookmarkEnd w:id="169"/>
    <w:bookmarkStart w:id="171"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70">
        <w:r>
          <w:rPr>
            <w:rStyle w:val="Hyperlink"/>
          </w:rPr>
          <w:t xml:space="preserve">https://doi.org/10.1111/j.1469-8137.2010.03391.x</w:t>
        </w:r>
      </w:hyperlink>
    </w:p>
    <w:bookmarkEnd w:id="171"/>
    <w:bookmarkStart w:id="173"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72">
        <w:r>
          <w:rPr>
            <w:rStyle w:val="Hyperlink"/>
          </w:rPr>
          <w:t xml:space="preserve">https://doi.org/10.1016/j.csda.2011.02.004</w:t>
        </w:r>
      </w:hyperlink>
    </w:p>
    <w:bookmarkEnd w:id="173"/>
    <w:bookmarkStart w:id="174" w:name="Xf94773ba59d65977147047af608c27f573b17bd"/>
    <w:p>
      <w:pPr>
        <w:pStyle w:val="Bibliography"/>
      </w:pPr>
      <w:r>
        <w:t xml:space="preserve">McKee, T. B., Doesken, N. J., Kleist, J., &amp; others. (1993). The relationship of drought frequency and duration to time scales.</w:t>
      </w:r>
      <w:r>
        <w:t xml:space="preserve"> </w:t>
      </w:r>
      <w:r>
        <w:rPr>
          <w:iCs/>
          <w:i/>
        </w:rPr>
        <w:t xml:space="preserve">Proceedings of the 8th Conference on Applied Climatology</w:t>
      </w:r>
      <w:r>
        <w:t xml:space="preserve">,</w:t>
      </w:r>
      <w:r>
        <w:t xml:space="preserve"> </w:t>
      </w:r>
      <w:r>
        <w:rPr>
          <w:iCs/>
          <w:i/>
        </w:rPr>
        <w:t xml:space="preserve">17</w:t>
      </w:r>
      <w:r>
        <w:t xml:space="preserve">, 179–183.</w:t>
      </w:r>
    </w:p>
    <w:bookmarkEnd w:id="174"/>
    <w:bookmarkStart w:id="176"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75">
        <w:r>
          <w:rPr>
            <w:rStyle w:val="Hyperlink"/>
          </w:rPr>
          <w:t xml:space="preserve">https://doi.org/10.1038/19193</w:t>
        </w:r>
      </w:hyperlink>
    </w:p>
    <w:bookmarkEnd w:id="176"/>
    <w:bookmarkStart w:id="178" w:name="X39997561169cc377e78cfd1f6b419ae9f999567"/>
    <w:p>
      <w:pPr>
        <w:pStyle w:val="Bibliography"/>
      </w:pPr>
      <w:r>
        <w:t xml:space="preserve">Molowny-Horas, R., Suarez, M. L., &amp; Lloret, F. (2017). Changes in the natural dynamics of</w:t>
      </w:r>
      <w:r>
        <w:t xml:space="preserve"> </w:t>
      </w:r>
      <w:r>
        <w:rPr>
          <w:iCs/>
          <w:i/>
        </w:rPr>
        <w:t xml:space="preserve">Nothofagus</w:t>
      </w:r>
      <w:r>
        <w:t xml:space="preserve"> </w:t>
      </w:r>
      <w:r>
        <w:rPr>
          <w:iCs/>
          <w:i/>
        </w:rPr>
        <w:t xml:space="preserve">Dombeyi</w:t>
      </w:r>
      <w:r>
        <w:t xml:space="preserve"> </w:t>
      </w:r>
      <w:r>
        <w:t xml:space="preserve">forests: Population modeling with increasing drought frequencies.</w:t>
      </w:r>
      <w:r>
        <w:t xml:space="preserve"> </w:t>
      </w:r>
      <w:r>
        <w:rPr>
          <w:iCs/>
          <w:i/>
        </w:rPr>
        <w:t xml:space="preserve">Ecosphere</w:t>
      </w:r>
      <w:r>
        <w:t xml:space="preserve">,</w:t>
      </w:r>
      <w:r>
        <w:t xml:space="preserve"> </w:t>
      </w:r>
      <w:r>
        <w:rPr>
          <w:iCs/>
          <w:i/>
        </w:rPr>
        <w:t xml:space="preserve">8</w:t>
      </w:r>
      <w:r>
        <w:t xml:space="preserve">(3), e01708.</w:t>
      </w:r>
      <w:r>
        <w:t xml:space="preserve"> </w:t>
      </w:r>
      <w:hyperlink r:id="rId177">
        <w:r>
          <w:rPr>
            <w:rStyle w:val="Hyperlink"/>
          </w:rPr>
          <w:t xml:space="preserve">https://doi.org/10.1002/ecs2.1708</w:t>
        </w:r>
      </w:hyperlink>
    </w:p>
    <w:bookmarkEnd w:id="178"/>
    <w:bookmarkStart w:id="179"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79"/>
    <w:bookmarkStart w:id="181" w:name="ref-morrisLongevityCanBuffer2008"/>
    <w:p>
      <w:pPr>
        <w:pStyle w:val="Bibliography"/>
      </w:pPr>
      <w:r>
        <w:t xml:space="preserve">Morris, W. F., Pfister, C. A., Tuljapurkar, S., Haridas, C. V., Boggs, C. L., Boyce, M. S., Bruna, E. M., Church, D. R., Coulson, T., Doak, D. F., Forsyth, S., Gaillard, J.-M., Horvitz, C. C., Kalisz, S., Kendall, B. E., Knight, T. M., Lee, C. T., &amp; Menges, E. S. (2008). Longevity can buffer plant and animal populations against changing climatic variability.</w:t>
      </w:r>
      <w:r>
        <w:t xml:space="preserve"> </w:t>
      </w:r>
      <w:r>
        <w:rPr>
          <w:iCs/>
          <w:i/>
        </w:rPr>
        <w:t xml:space="preserve">Ecology</w:t>
      </w:r>
      <w:r>
        <w:t xml:space="preserve">,</w:t>
      </w:r>
      <w:r>
        <w:t xml:space="preserve"> </w:t>
      </w:r>
      <w:r>
        <w:rPr>
          <w:iCs/>
          <w:i/>
        </w:rPr>
        <w:t xml:space="preserve">89</w:t>
      </w:r>
      <w:r>
        <w:t xml:space="preserve">(1), 19–25.</w:t>
      </w:r>
      <w:r>
        <w:t xml:space="preserve"> </w:t>
      </w:r>
      <w:hyperlink r:id="rId180">
        <w:r>
          <w:rPr>
            <w:rStyle w:val="Hyperlink"/>
          </w:rPr>
          <w:t xml:space="preserve">https://doi.org/10.1890/07-0774.1</w:t>
        </w:r>
      </w:hyperlink>
    </w:p>
    <w:bookmarkEnd w:id="181"/>
    <w:bookmarkStart w:id="182" w:name="ref-mundim2016"/>
    <w:p>
      <w:pPr>
        <w:pStyle w:val="Bibliography"/>
      </w:pPr>
      <w:r>
        <w:t xml:space="preserve">Mundim, F. M., &amp; Bruna, E. M. (2016). Is there a temperate bias in our understanding of how climate change will alter plant–herbivore interactions? A meta- analysis of experimental studies.</w:t>
      </w:r>
      <w:r>
        <w:t xml:space="preserve"> </w:t>
      </w:r>
      <w:r>
        <w:rPr>
          <w:iCs/>
          <w:i/>
        </w:rPr>
        <w:t xml:space="preserve">American Naturalist</w:t>
      </w:r>
      <w:r>
        <w:t xml:space="preserve">,</w:t>
      </w:r>
      <w:r>
        <w:t xml:space="preserve"> </w:t>
      </w:r>
      <w:r>
        <w:rPr>
          <w:iCs/>
          <w:i/>
        </w:rPr>
        <w:t xml:space="preserve">188</w:t>
      </w:r>
      <w:r>
        <w:t xml:space="preserve">, S74–S89.</w:t>
      </w:r>
    </w:p>
    <w:bookmarkEnd w:id="182"/>
    <w:bookmarkStart w:id="184"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83">
        <w:r>
          <w:rPr>
            <w:rStyle w:val="Hyperlink"/>
          </w:rPr>
          <w:t xml:space="preserve">https://doi.org/10.1016/j.foreco.2003.10.013</w:t>
        </w:r>
      </w:hyperlink>
    </w:p>
    <w:bookmarkEnd w:id="184"/>
    <w:bookmarkStart w:id="186" w:name="ref-nihadRelationshipStressFlowering2018"/>
    <w:p>
      <w:pPr>
        <w:pStyle w:val="Bibliography"/>
      </w:pPr>
      <w:r>
        <w:t xml:space="preserve">Nihad, K., Krishnakumar, V., &amp; Sheela, V. L. (2018). Relationship between stress and flowering in</w:t>
      </w:r>
      <w:r>
        <w:t xml:space="preserve"> </w:t>
      </w:r>
      <w:r>
        <w:rPr>
          <w:iCs/>
          <w:i/>
        </w:rPr>
        <w:t xml:space="preserve">Heliconia</w:t>
      </w:r>
      <w:r>
        <w:t xml:space="preserve"> </w:t>
      </w:r>
      <w:r>
        <w:t xml:space="preserve">(</w:t>
      </w:r>
      <w:r>
        <w:rPr>
          <w:iCs/>
          <w:i/>
        </w:rPr>
        <w:t xml:space="preserve">Heliconia</w:t>
      </w:r>
      <w:r>
        <w:t xml:space="preserve"> </w:t>
      </w:r>
      <w:r>
        <w:rPr>
          <w:iCs/>
          <w:i/>
        </w:rPr>
        <w:t xml:space="preserve">stricta</w:t>
      </w:r>
      <w:r>
        <w:t xml:space="preserve">).</w:t>
      </w:r>
      <w:r>
        <w:t xml:space="preserve"> </w:t>
      </w:r>
      <w:r>
        <w:rPr>
          <w:iCs/>
          <w:i/>
        </w:rPr>
        <w:t xml:space="preserve">International Journal of Agriculture Sciences(IJAS)</w:t>
      </w:r>
      <w:r>
        <w:t xml:space="preserve">,</w:t>
      </w:r>
      <w:r>
        <w:t xml:space="preserve"> </w:t>
      </w:r>
      <w:r>
        <w:rPr>
          <w:iCs/>
          <w:i/>
        </w:rPr>
        <w:t xml:space="preserve">10</w:t>
      </w:r>
      <w:r>
        <w:t xml:space="preserve">(3), 5137.</w:t>
      </w:r>
      <w:r>
        <w:t xml:space="preserve"> </w:t>
      </w:r>
      <w:hyperlink r:id="rId185">
        <w:r>
          <w:rPr>
            <w:rStyle w:val="Hyperlink"/>
          </w:rPr>
          <w:t xml:space="preserve">https://doi.org/10.9735/0975-3710.10.3.5137-5139</w:t>
        </w:r>
      </w:hyperlink>
    </w:p>
    <w:bookmarkEnd w:id="186"/>
    <w:bookmarkStart w:id="188"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87">
        <w:r>
          <w:rPr>
            <w:rStyle w:val="Hyperlink"/>
          </w:rPr>
          <w:t xml:space="preserve">https://doi.org/10.1111/ele.12399</w:t>
        </w:r>
      </w:hyperlink>
    </w:p>
    <w:bookmarkEnd w:id="188"/>
    <w:bookmarkStart w:id="190"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89">
        <w:r>
          <w:rPr>
            <w:rStyle w:val="Hyperlink"/>
          </w:rPr>
          <w:t xml:space="preserve">https://doi.org/10.1038/nclimate2746</w:t>
        </w:r>
      </w:hyperlink>
    </w:p>
    <w:bookmarkEnd w:id="190"/>
    <w:bookmarkStart w:id="191" w:name="ref-opdamClimateChangeMeets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191"/>
    <w:bookmarkStart w:id="193"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192">
        <w:r>
          <w:rPr>
            <w:rStyle w:val="Hyperlink"/>
          </w:rPr>
          <w:t xml:space="preserve">https://doi.org/10.1111/1365-2656.13467</w:t>
        </w:r>
      </w:hyperlink>
    </w:p>
    <w:bookmarkEnd w:id="193"/>
    <w:bookmarkStart w:id="194" w:name="ref-pau2013"/>
    <w:p>
      <w:pPr>
        <w:pStyle w:val="Bibliography"/>
      </w:pPr>
      <w:r>
        <w:t xml:space="preserve">Pau, S., Wolkovich, E. M., Cook, B. I., Nytch, C. J., Regetz, J., Zimmerman, J. K., &amp; Wright, S. J.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p>
    <w:bookmarkEnd w:id="194"/>
    <w:bookmarkStart w:id="196" w:name="Xc7896ee722167ea25b03e00d6088e22ccfe6492"/>
    <w:p>
      <w:pPr>
        <w:pStyle w:val="Bibliography"/>
      </w:pPr>
      <w:r>
        <w:t xml:space="preserve">Payton, M. E., Greenstone, M. H., &amp; Schenker, N. (2003). Overlapping confidence intervals or standard error intervals:</w:t>
      </w:r>
      <w:r>
        <w:t xml:space="preserve"> </w:t>
      </w:r>
      <w:r>
        <w:t xml:space="preserve">What</w:t>
      </w:r>
      <w:r>
        <w:t xml:space="preserve"> </w:t>
      </w:r>
      <w:r>
        <w:t xml:space="preserve">do they mean in terms of statistical significance?</w:t>
      </w:r>
      <w:r>
        <w:t xml:space="preserve"> </w:t>
      </w:r>
      <w:r>
        <w:rPr>
          <w:iCs/>
          <w:i/>
        </w:rPr>
        <w:t xml:space="preserve">Journal of Insect Science</w:t>
      </w:r>
      <w:r>
        <w:t xml:space="preserve">,</w:t>
      </w:r>
      <w:r>
        <w:t xml:space="preserve"> </w:t>
      </w:r>
      <w:r>
        <w:rPr>
          <w:iCs/>
          <w:i/>
        </w:rPr>
        <w:t xml:space="preserve">3</w:t>
      </w:r>
      <w:r>
        <w:t xml:space="preserve">(34), 1–6.</w:t>
      </w:r>
      <w:r>
        <w:t xml:space="preserve"> </w:t>
      </w:r>
      <w:hyperlink r:id="rId195">
        <w:r>
          <w:rPr>
            <w:rStyle w:val="Hyperlink"/>
          </w:rPr>
          <w:t xml:space="preserve">https://doi.org/10.1673/031.003.3401</w:t>
        </w:r>
      </w:hyperlink>
    </w:p>
    <w:bookmarkEnd w:id="196"/>
    <w:bookmarkStart w:id="197" w:name="ref-pedersenPatchworkComposerPlots2020"/>
    <w:p>
      <w:pPr>
        <w:pStyle w:val="Bibliography"/>
      </w:pPr>
      <w:r>
        <w:t xml:space="preserve">Pedersen, T. L. (2020).</w:t>
      </w:r>
      <w:r>
        <w:t xml:space="preserve"> </w:t>
      </w:r>
      <w:r>
        <w:rPr>
          <w:iCs/>
          <w:i/>
        </w:rPr>
        <w:t xml:space="preserve">Patchwork:</w:t>
      </w:r>
      <w:r>
        <w:rPr>
          <w:iCs/>
          <w:i/>
        </w:rPr>
        <w:t xml:space="preserve"> </w:t>
      </w:r>
      <w:r>
        <w:rPr>
          <w:iCs/>
          <w:i/>
        </w:rPr>
        <w:t xml:space="preserve">The</w:t>
      </w:r>
      <w:r>
        <w:rPr>
          <w:iCs/>
          <w:i/>
        </w:rPr>
        <w:t xml:space="preserve"> </w:t>
      </w:r>
      <w:r>
        <w:rPr>
          <w:iCs/>
          <w:i/>
        </w:rPr>
        <w:t xml:space="preserve">composer of plots</w:t>
      </w:r>
      <w:r>
        <w:t xml:space="preserve"> </w:t>
      </w:r>
      <w:r>
        <w:t xml:space="preserve">[Manual].</w:t>
      </w:r>
    </w:p>
    <w:bookmarkEnd w:id="197"/>
    <w:bookmarkStart w:id="199"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198">
        <w:r>
          <w:rPr>
            <w:rStyle w:val="Hyperlink"/>
          </w:rPr>
          <w:t xml:space="preserve">https://doi.org/10.1111/j.1469-8137.2010.03359.x</w:t>
        </w:r>
      </w:hyperlink>
    </w:p>
    <w:bookmarkEnd w:id="199"/>
    <w:bookmarkStart w:id="201" w:name="ref-pierreCriticalWindowsMethod2020"/>
    <w:p>
      <w:pPr>
        <w:pStyle w:val="Bibliography"/>
      </w:pPr>
      <w:r>
        <w:t xml:space="preserve">Pierre, J.-S., Hullé, M., Gauthier, J.-P., &amp; Rispe, C. (2020). Critical windows:</w:t>
      </w:r>
      <w:r>
        <w:t xml:space="preserve"> </w:t>
      </w:r>
      <w:r>
        <w:t xml:space="preserve">A</w:t>
      </w:r>
      <w:r>
        <w:t xml:space="preserve"> </w:t>
      </w:r>
      <w:r>
        <w:t xml:space="preserve">method for detecting lagged variables in ecological time series.</w:t>
      </w:r>
      <w:r>
        <w:t xml:space="preserve"> </w:t>
      </w:r>
      <w:r>
        <w:rPr>
          <w:iCs/>
          <w:i/>
        </w:rPr>
        <w:t xml:space="preserve">Ecological Informatics</w:t>
      </w:r>
      <w:r>
        <w:t xml:space="preserve">,</w:t>
      </w:r>
      <w:r>
        <w:t xml:space="preserve"> </w:t>
      </w:r>
      <w:r>
        <w:rPr>
          <w:iCs/>
          <w:i/>
        </w:rPr>
        <w:t xml:space="preserve">61</w:t>
      </w:r>
      <w:r>
        <w:t xml:space="preserve">, 101178.</w:t>
      </w:r>
      <w:r>
        <w:t xml:space="preserve"> </w:t>
      </w:r>
      <w:hyperlink r:id="rId200">
        <w:r>
          <w:rPr>
            <w:rStyle w:val="Hyperlink"/>
          </w:rPr>
          <w:t xml:space="preserve">https://doi.org/10.1016/j.ecoinf.2020.101178</w:t>
        </w:r>
      </w:hyperlink>
    </w:p>
    <w:bookmarkEnd w:id="201"/>
    <w:bookmarkStart w:id="203"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202">
        <w:r>
          <w:rPr>
            <w:rStyle w:val="Hyperlink"/>
          </w:rPr>
          <w:t xml:space="preserve">https://doi.org/10.1007/s11240-012-0160-7</w:t>
        </w:r>
      </w:hyperlink>
    </w:p>
    <w:bookmarkEnd w:id="203"/>
    <w:bookmarkStart w:id="204"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204"/>
    <w:bookmarkStart w:id="206"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205">
        <w:r>
          <w:rPr>
            <w:rStyle w:val="Hyperlink"/>
          </w:rPr>
          <w:t xml:space="preserve">https://doi.org/10.1590/1809-43921992224534</w:t>
        </w:r>
      </w:hyperlink>
    </w:p>
    <w:bookmarkEnd w:id="206"/>
    <w:bookmarkStart w:id="207"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207"/>
    <w:bookmarkStart w:id="209" w:name="Xa482cb6b22882f61235036974905b7f615ac378"/>
    <w:p>
      <w:pPr>
        <w:pStyle w:val="Bibliography"/>
      </w:pPr>
      <w:r>
        <w:t xml:space="preserve">Rundel, P. W., Cooley, A. M., Gerst, K. L., Riordan, E. C., Sharifi, M. R., Sun, J. W., &amp; Tower, J. A. (2020). Functional traits of broad-leaved monocot herbs in the understory and forest edges of a</w:t>
      </w:r>
      <w:r>
        <w:t xml:space="preserve"> </w:t>
      </w:r>
      <w:r>
        <w:t xml:space="preserve">Costa Rican</w:t>
      </w:r>
      <w:r>
        <w:t xml:space="preserve"> </w:t>
      </w:r>
      <w:r>
        <w:t xml:space="preserve">rainforest.</w:t>
      </w:r>
      <w:r>
        <w:t xml:space="preserve"> </w:t>
      </w:r>
      <w:r>
        <w:rPr>
          <w:iCs/>
          <w:i/>
        </w:rPr>
        <w:t xml:space="preserve">PeerJ</w:t>
      </w:r>
      <w:r>
        <w:t xml:space="preserve">,</w:t>
      </w:r>
      <w:r>
        <w:t xml:space="preserve"> </w:t>
      </w:r>
      <w:r>
        <w:rPr>
          <w:iCs/>
          <w:i/>
        </w:rPr>
        <w:t xml:space="preserve">8</w:t>
      </w:r>
      <w:r>
        <w:t xml:space="preserve">, e9958.</w:t>
      </w:r>
      <w:r>
        <w:t xml:space="preserve"> </w:t>
      </w:r>
      <w:hyperlink r:id="rId208">
        <w:r>
          <w:rPr>
            <w:rStyle w:val="Hyperlink"/>
          </w:rPr>
          <w:t xml:space="preserve">https://doi.org/10.7717/peerj.9958</w:t>
        </w:r>
      </w:hyperlink>
    </w:p>
    <w:bookmarkEnd w:id="209"/>
    <w:bookmarkStart w:id="211"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210">
        <w:r>
          <w:rPr>
            <w:rStyle w:val="Hyperlink"/>
          </w:rPr>
          <w:t xml:space="preserve">https://doi.org/10.1017/S0266467498000571</w:t>
        </w:r>
      </w:hyperlink>
    </w:p>
    <w:bookmarkEnd w:id="211"/>
    <w:bookmarkStart w:id="213"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212">
        <w:r>
          <w:rPr>
            <w:rStyle w:val="Hyperlink"/>
          </w:rPr>
          <w:t xml:space="preserve">https://doi.org/10.1111/1365-2745.12334</w:t>
        </w:r>
      </w:hyperlink>
    </w:p>
    <w:bookmarkEnd w:id="213"/>
    <w:bookmarkStart w:id="215" w:name="ref-sapsfordChickenEggWhich2017"/>
    <w:p>
      <w:pPr>
        <w:pStyle w:val="Bibliography"/>
      </w:pPr>
      <w:r>
        <w:t xml:space="preserve">Sapsford, S. J., Paap, T., Hardy, G. E. St. J., &amp; Burgess, T. I. (2017). The</w:t>
      </w:r>
      <w:r>
        <w:t xml:space="preserve"> </w:t>
      </w:r>
      <w:r>
        <w:t xml:space="preserve">‘chicken or the egg’</w:t>
      </w:r>
      <w:r>
        <w:t xml:space="preserve">: Which comes first, forest tree decline or loss of mycorrhizae?</w:t>
      </w:r>
      <w:r>
        <w:t xml:space="preserve"> </w:t>
      </w:r>
      <w:r>
        <w:rPr>
          <w:iCs/>
          <w:i/>
        </w:rPr>
        <w:t xml:space="preserve">Plant Ecology</w:t>
      </w:r>
      <w:r>
        <w:t xml:space="preserve">,</w:t>
      </w:r>
      <w:r>
        <w:t xml:space="preserve"> </w:t>
      </w:r>
      <w:r>
        <w:rPr>
          <w:iCs/>
          <w:i/>
        </w:rPr>
        <w:t xml:space="preserve">218</w:t>
      </w:r>
      <w:r>
        <w:t xml:space="preserve">(9), 1093–1106.</w:t>
      </w:r>
      <w:r>
        <w:t xml:space="preserve"> </w:t>
      </w:r>
      <w:hyperlink r:id="rId214">
        <w:r>
          <w:rPr>
            <w:rStyle w:val="Hyperlink"/>
          </w:rPr>
          <w:t xml:space="preserve">https://doi.org/10.1007/s11258-017-0754-6</w:t>
        </w:r>
      </w:hyperlink>
    </w:p>
    <w:bookmarkEnd w:id="215"/>
    <w:bookmarkStart w:id="217"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16">
        <w:r>
          <w:rPr>
            <w:rStyle w:val="Hyperlink"/>
          </w:rPr>
          <w:t xml:space="preserve">https://doi.org/10.1046/j.1365-2745.1999.00332.x</w:t>
        </w:r>
      </w:hyperlink>
    </w:p>
    <w:bookmarkEnd w:id="217"/>
    <w:bookmarkStart w:id="219"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18">
        <w:r>
          <w:rPr>
            <w:rStyle w:val="Hyperlink"/>
          </w:rPr>
          <w:t xml:space="preserve">https://doi.org/10.1111/btp.12355</w:t>
        </w:r>
      </w:hyperlink>
    </w:p>
    <w:bookmarkEnd w:id="219"/>
    <w:bookmarkStart w:id="221"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20">
        <w:r>
          <w:rPr>
            <w:rStyle w:val="Hyperlink"/>
          </w:rPr>
          <w:t xml:space="preserve">https://doi.org/10.1038/nature23021</w:t>
        </w:r>
      </w:hyperlink>
    </w:p>
    <w:bookmarkEnd w:id="221"/>
    <w:bookmarkStart w:id="223"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22">
        <w:r>
          <w:rPr>
            <w:rStyle w:val="Hyperlink"/>
          </w:rPr>
          <w:t xml:space="preserve">https://doi.org/10.1002/ecy.2677</w:t>
        </w:r>
      </w:hyperlink>
    </w:p>
    <w:bookmarkEnd w:id="223"/>
    <w:bookmarkStart w:id="225" w:name="ref-scottDifferingNonlinearLagged2021"/>
    <w:p>
      <w:pPr>
        <w:pStyle w:val="Bibliography"/>
      </w:pPr>
      <w:r>
        <w:t xml:space="preserve">Scott, E. R., Wei, J.-P., Li, X., Han, W.-Y., &amp; Orians, C. M. (2021). Differing non-linear, lagged effects of temperature and precipitation on an insect herbivore and its host plant.</w:t>
      </w:r>
      <w:r>
        <w:t xml:space="preserve"> </w:t>
      </w:r>
      <w:r>
        <w:rPr>
          <w:iCs/>
          <w:i/>
        </w:rPr>
        <w:t xml:space="preserve">Ecological Entomology</w:t>
      </w:r>
      <w:r>
        <w:t xml:space="preserve">,</w:t>
      </w:r>
      <w:r>
        <w:t xml:space="preserve"> </w:t>
      </w:r>
      <w:r>
        <w:rPr>
          <w:iCs/>
          <w:i/>
        </w:rPr>
        <w:t xml:space="preserve">early view</w:t>
      </w:r>
      <w:r>
        <w:t xml:space="preserve">.</w:t>
      </w:r>
      <w:r>
        <w:t xml:space="preserve"> </w:t>
      </w:r>
      <w:hyperlink r:id="rId224">
        <w:r>
          <w:rPr>
            <w:rStyle w:val="Hyperlink"/>
          </w:rPr>
          <w:t xml:space="preserve">https://doi.org/10.1111/een.13023</w:t>
        </w:r>
      </w:hyperlink>
    </w:p>
    <w:bookmarkEnd w:id="225"/>
    <w:bookmarkStart w:id="227" w:name="ref-selwoodEffectsClimateChange2015"/>
    <w:p>
      <w:pPr>
        <w:pStyle w:val="Bibliography"/>
      </w:pPr>
      <w:r>
        <w:t xml:space="preserve">Selwood, K. E., McGeoch, M. A., &amp; Nally, R. M. (2015). The effects of climate change and land-use change on demographic rates and population viability.</w:t>
      </w:r>
      <w:r>
        <w:t xml:space="preserve"> </w:t>
      </w:r>
      <w:r>
        <w:rPr>
          <w:iCs/>
          <w:i/>
        </w:rPr>
        <w:t xml:space="preserve">Biological Reviews</w:t>
      </w:r>
      <w:r>
        <w:t xml:space="preserve">,</w:t>
      </w:r>
      <w:r>
        <w:t xml:space="preserve"> </w:t>
      </w:r>
      <w:r>
        <w:rPr>
          <w:iCs/>
          <w:i/>
        </w:rPr>
        <w:t xml:space="preserve">90</w:t>
      </w:r>
      <w:r>
        <w:t xml:space="preserve">(3), 837–853.</w:t>
      </w:r>
      <w:r>
        <w:t xml:space="preserve"> </w:t>
      </w:r>
      <w:hyperlink r:id="rId226">
        <w:r>
          <w:rPr>
            <w:rStyle w:val="Hyperlink"/>
          </w:rPr>
          <w:t xml:space="preserve">https://doi.org/10.1111/brv.12136</w:t>
        </w:r>
      </w:hyperlink>
    </w:p>
    <w:bookmarkEnd w:id="227"/>
    <w:bookmarkStart w:id="229"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28">
        <w:r>
          <w:rPr>
            <w:rStyle w:val="Hyperlink"/>
          </w:rPr>
          <w:t xml:space="preserve">https://doi.org/10.1038/s41559-020-01368-x</w:t>
        </w:r>
      </w:hyperlink>
    </w:p>
    <w:bookmarkEnd w:id="229"/>
    <w:bookmarkStart w:id="230" w:name="ref-simpsonGratiaGracefulGgplot2021"/>
    <w:p>
      <w:pPr>
        <w:pStyle w:val="Bibliography"/>
      </w:pPr>
      <w:r>
        <w:t xml:space="preserve">Simpson, G. L. (2021).</w:t>
      </w:r>
      <w:r>
        <w:t xml:space="preserve"> </w:t>
      </w:r>
      <w:r>
        <w:rPr>
          <w:iCs/>
          <w:i/>
        </w:rPr>
        <w:t xml:space="preserve">Gratia:</w:t>
      </w:r>
      <w:r>
        <w:rPr>
          <w:iCs/>
          <w:i/>
        </w:rPr>
        <w:t xml:space="preserve"> </w:t>
      </w:r>
      <w:r>
        <w:rPr>
          <w:iCs/>
          <w:i/>
        </w:rPr>
        <w:t xml:space="preserve">Graceful</w:t>
      </w:r>
      <w:r>
        <w:rPr>
          <w:iCs/>
          <w:i/>
        </w:rPr>
        <w:t xml:space="preserve"> </w:t>
      </w:r>
      <w:r>
        <w:rPr>
          <w:iCs/>
          <w:i/>
        </w:rPr>
        <w:t xml:space="preserve">’ggplot’-</w:t>
      </w:r>
      <w:r>
        <w:rPr>
          <w:iCs/>
          <w:i/>
        </w:rPr>
        <w:t xml:space="preserve">Based</w:t>
      </w:r>
      <w:r>
        <w:rPr>
          <w:iCs/>
          <w:i/>
        </w:rPr>
        <w:t xml:space="preserve"> </w:t>
      </w:r>
      <w:r>
        <w:rPr>
          <w:iCs/>
          <w:i/>
        </w:rPr>
        <w:t xml:space="preserve">graphics and other functions for</w:t>
      </w:r>
      <w:r>
        <w:rPr>
          <w:iCs/>
          <w:i/>
        </w:rPr>
        <w:t xml:space="preserve"> </w:t>
      </w:r>
      <w:r>
        <w:rPr>
          <w:iCs/>
          <w:i/>
        </w:rPr>
        <w:t xml:space="preserve">GAMs</w:t>
      </w:r>
      <w:r>
        <w:rPr>
          <w:iCs/>
          <w:i/>
        </w:rPr>
        <w:t xml:space="preserve"> </w:t>
      </w:r>
      <w:r>
        <w:rPr>
          <w:iCs/>
          <w:i/>
        </w:rPr>
        <w:t xml:space="preserve">fitted using ’mgcv’</w:t>
      </w:r>
      <w:r>
        <w:t xml:space="preserve"> </w:t>
      </w:r>
      <w:r>
        <w:t xml:space="preserve">[Manual].</w:t>
      </w:r>
    </w:p>
    <w:bookmarkEnd w:id="230"/>
    <w:bookmarkStart w:id="232"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31">
        <w:r>
          <w:rPr>
            <w:rStyle w:val="Hyperlink"/>
          </w:rPr>
          <w:t xml:space="preserve">https://doi.org/10.1111/j.1365-2745.2005.01008.x</w:t>
        </w:r>
      </w:hyperlink>
    </w:p>
    <w:bookmarkEnd w:id="232"/>
    <w:bookmarkStart w:id="234"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33">
        <w:r>
          <w:rPr>
            <w:rStyle w:val="Hyperlink"/>
          </w:rPr>
          <w:t xml:space="preserve">https://doi.org/10.2307/2387865</w:t>
        </w:r>
      </w:hyperlink>
    </w:p>
    <w:bookmarkEnd w:id="234"/>
    <w:bookmarkStart w:id="236"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w:t>
      </w:r>
      <w:r>
        <w:t xml:space="preserve"> </w:t>
      </w:r>
      <w:r>
        <w:rPr>
          <w:iCs/>
          <w:i/>
        </w:rPr>
        <w:t xml:space="preserve">Ecology</w:t>
      </w:r>
      <w:r>
        <w:t xml:space="preserve">,</w:t>
      </w:r>
      <w:r>
        <w:t xml:space="preserve"> </w:t>
      </w:r>
      <w:r>
        <w:rPr>
          <w:iCs/>
          <w:i/>
        </w:rPr>
        <w:t xml:space="preserve">56</w:t>
      </w:r>
      <w:r>
        <w:t xml:space="preserve">(2), 285–301.</w:t>
      </w:r>
      <w:r>
        <w:t xml:space="preserve"> </w:t>
      </w:r>
      <w:hyperlink r:id="rId235">
        <w:r>
          <w:rPr>
            <w:rStyle w:val="Hyperlink"/>
          </w:rPr>
          <w:t xml:space="preserve">https://doi.org/10.2307/1934961</w:t>
        </w:r>
      </w:hyperlink>
    </w:p>
    <w:bookmarkEnd w:id="236"/>
    <w:bookmarkStart w:id="237"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37"/>
    <w:bookmarkStart w:id="239" w:name="ref-taubert2018"/>
    <w:p>
      <w:pPr>
        <w:pStyle w:val="Bibliography"/>
      </w:pPr>
      <w:r>
        <w:t xml:space="preserve">Taubert, F., Fischer, R., Groeneveld, J., Lehmann, S., Müller, M. S., Rödig, E., Wiegand, T., &amp; Huth, A. (2018). Global patterns of tropical forest fragmentation.</w:t>
      </w:r>
      <w:r>
        <w:t xml:space="preserve"> </w:t>
      </w:r>
      <w:r>
        <w:rPr>
          <w:iCs/>
          <w:i/>
        </w:rPr>
        <w:t xml:space="preserve">Nature</w:t>
      </w:r>
      <w:r>
        <w:t xml:space="preserve">,</w:t>
      </w:r>
      <w:r>
        <w:t xml:space="preserve"> </w:t>
      </w:r>
      <w:r>
        <w:rPr>
          <w:iCs/>
          <w:i/>
        </w:rPr>
        <w:t xml:space="preserve">554</w:t>
      </w:r>
      <w:r>
        <w:t xml:space="preserve">(7693), 519–522.</w:t>
      </w:r>
      <w:r>
        <w:t xml:space="preserve"> </w:t>
      </w:r>
      <w:hyperlink r:id="rId238">
        <w:r>
          <w:rPr>
            <w:rStyle w:val="Hyperlink"/>
          </w:rPr>
          <w:t xml:space="preserve">https://doi.org/10.1038/nature25508</w:t>
        </w:r>
      </w:hyperlink>
    </w:p>
    <w:bookmarkEnd w:id="239"/>
    <w:bookmarkStart w:id="241"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40">
        <w:r>
          <w:rPr>
            <w:rStyle w:val="Hyperlink"/>
          </w:rPr>
          <w:t xml:space="preserve">https://doi.org/10.1111/2041-210X.12486</w:t>
        </w:r>
      </w:hyperlink>
    </w:p>
    <w:bookmarkEnd w:id="241"/>
    <w:bookmarkStart w:id="243"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42">
        <w:r>
          <w:rPr>
            <w:rStyle w:val="Hyperlink"/>
          </w:rPr>
          <w:t xml:space="preserve">https://doi.org/10.1002/ecy.2163</w:t>
        </w:r>
      </w:hyperlink>
    </w:p>
    <w:bookmarkEnd w:id="243"/>
    <w:bookmarkStart w:id="245"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44">
        <w:r>
          <w:rPr>
            <w:rStyle w:val="Hyperlink"/>
          </w:rPr>
          <w:t xml:space="preserve">https://doi.org/10.1111/j.1744-7429.2003.tb00278.x</w:t>
        </w:r>
      </w:hyperlink>
    </w:p>
    <w:bookmarkEnd w:id="245"/>
    <w:bookmarkStart w:id="247" w:name="X2990ffae4b5729b697c683600dc97fa0cd90c99"/>
    <w:p>
      <w:pPr>
        <w:pStyle w:val="Bibliography"/>
      </w:pPr>
      <w:r>
        <w:t xml:space="preserve">Uriarte, M.,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46">
        <w:r>
          <w:rPr>
            <w:rStyle w:val="Hyperlink"/>
          </w:rPr>
          <w:t xml:space="preserve">https://doi.org/10.1890/10-0709.1</w:t>
        </w:r>
      </w:hyperlink>
    </w:p>
    <w:bookmarkEnd w:id="247"/>
    <w:bookmarkStart w:id="249" w:name="Xe41534ce2b5b4872638437400c0ba46f5979352"/>
    <w:p>
      <w:pPr>
        <w:pStyle w:val="Bibliography"/>
      </w:pPr>
      <w:r>
        <w:t xml:space="preserve">Uriarte, M., Bruna, E. M., Rubim, P., Anciães, M., &amp; Jonckheere, I. (2010). Effects of forest fragmentation on the seedling recruitment of a tropical herb: assessing seed vs. safe-site limitation.</w:t>
      </w:r>
      <w:r>
        <w:t xml:space="preserve"> </w:t>
      </w:r>
      <w:r>
        <w:rPr>
          <w:iCs/>
          <w:i/>
        </w:rPr>
        <w:t xml:space="preserve">Ecology</w:t>
      </w:r>
      <w:r>
        <w:t xml:space="preserve">,</w:t>
      </w:r>
      <w:r>
        <w:t xml:space="preserve"> </w:t>
      </w:r>
      <w:r>
        <w:rPr>
          <w:iCs/>
          <w:i/>
        </w:rPr>
        <w:t xml:space="preserve">91</w:t>
      </w:r>
      <w:r>
        <w:t xml:space="preserve">(5), 1317–1328.</w:t>
      </w:r>
      <w:r>
        <w:t xml:space="preserve"> </w:t>
      </w:r>
      <w:hyperlink r:id="rId248">
        <w:r>
          <w:rPr>
            <w:rStyle w:val="Hyperlink"/>
          </w:rPr>
          <w:t xml:space="preserve">https://doi.org/10.1890/09-0785.1</w:t>
        </w:r>
      </w:hyperlink>
    </w:p>
    <w:bookmarkEnd w:id="249"/>
    <w:bookmarkStart w:id="251"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Global Change Biology</w:t>
      </w:r>
      <w:r>
        <w:t xml:space="preserve">,</w:t>
      </w:r>
      <w:r>
        <w:t xml:space="preserve"> </w:t>
      </w:r>
      <w:r>
        <w:rPr>
          <w:iCs/>
          <w:i/>
        </w:rPr>
        <w:t xml:space="preserve">24</w:t>
      </w:r>
      <w:r>
        <w:t xml:space="preserve">(2), e692–e704.</w:t>
      </w:r>
      <w:r>
        <w:t xml:space="preserve"> </w:t>
      </w:r>
      <w:hyperlink r:id="rId250">
        <w:r>
          <w:rPr>
            <w:rStyle w:val="Hyperlink"/>
          </w:rPr>
          <w:t xml:space="preserve">https://doi.org/10.1111/gcb.14000</w:t>
        </w:r>
      </w:hyperlink>
    </w:p>
    <w:bookmarkEnd w:id="251"/>
    <w:bookmarkStart w:id="253" w:name="ref-uriarteImpactsClimateVariability2016"/>
    <w:p>
      <w:pPr>
        <w:pStyle w:val="Bibliography"/>
      </w:pPr>
      <w:r>
        <w:t xml:space="preserve">Uriarte, M., Schwartz, N., Powers, J. S., Marín-Spiotta, E., Liao, W., &amp; Werden, L. K. (2016). Impacts of climate variability on tree demography in second growth tropical forests: The importance of regional context for predicting successional trajectories.</w:t>
      </w:r>
      <w:r>
        <w:t xml:space="preserve"> </w:t>
      </w:r>
      <w:r>
        <w:rPr>
          <w:iCs/>
          <w:i/>
        </w:rPr>
        <w:t xml:space="preserve">Biotropica</w:t>
      </w:r>
      <w:r>
        <w:t xml:space="preserve">,</w:t>
      </w:r>
      <w:r>
        <w:t xml:space="preserve"> </w:t>
      </w:r>
      <w:r>
        <w:rPr>
          <w:iCs/>
          <w:i/>
        </w:rPr>
        <w:t xml:space="preserve">48</w:t>
      </w:r>
      <w:r>
        <w:t xml:space="preserve">(6), 780–797.</w:t>
      </w:r>
      <w:r>
        <w:t xml:space="preserve"> </w:t>
      </w:r>
      <w:hyperlink r:id="rId252">
        <w:r>
          <w:rPr>
            <w:rStyle w:val="Hyperlink"/>
          </w:rPr>
          <w:t xml:space="preserve">https://doi.org/10.1111/btp.12380</w:t>
        </w:r>
      </w:hyperlink>
    </w:p>
    <w:bookmarkEnd w:id="253"/>
    <w:bookmarkStart w:id="255"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54">
        <w:r>
          <w:rPr>
            <w:rStyle w:val="Hyperlink"/>
          </w:rPr>
          <w:t xml:space="preserve">https://doi.org/10.1890/03-5093</w:t>
        </w:r>
      </w:hyperlink>
    </w:p>
    <w:bookmarkEnd w:id="255"/>
    <w:bookmarkStart w:id="257"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56">
        <w:r>
          <w:rPr>
            <w:rStyle w:val="Hyperlink"/>
          </w:rPr>
          <w:t xml:space="preserve">https://doi.org/10.1175/2009JCLI2909.1</w:t>
        </w:r>
      </w:hyperlink>
    </w:p>
    <w:bookmarkEnd w:id="257"/>
    <w:bookmarkStart w:id="259"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58">
        <w:r>
          <w:rPr>
            <w:rStyle w:val="Hyperlink"/>
          </w:rPr>
          <w:t xml:space="preserve">https://doi.org/10.1111/1365-2745.12757</w:t>
        </w:r>
      </w:hyperlink>
    </w:p>
    <w:bookmarkEnd w:id="259"/>
    <w:bookmarkStart w:id="260" w:name="ref-wickhamGgplot2ElegantGraphics2016"/>
    <w:p>
      <w:pPr>
        <w:pStyle w:val="Bibliography"/>
      </w:pPr>
      <w:r>
        <w:t xml:space="preserve">Wickham, H. (2016).</w:t>
      </w:r>
      <w:r>
        <w:t xml:space="preserve"> </w:t>
      </w:r>
      <w:r>
        <w:rPr>
          <w:iCs/>
          <w:i/>
        </w:rPr>
        <w:t xml:space="preserve">Ggplot2:</w:t>
      </w:r>
      <w:r>
        <w:rPr>
          <w:iCs/>
          <w:i/>
        </w:rPr>
        <w:t xml:space="preserve"> </w:t>
      </w:r>
      <w:r>
        <w:rPr>
          <w:iCs/>
          <w:i/>
        </w:rPr>
        <w:t xml:space="preserve">Elegant</w:t>
      </w:r>
      <w:r>
        <w:rPr>
          <w:iCs/>
          <w:i/>
        </w:rPr>
        <w:t xml:space="preserve"> </w:t>
      </w:r>
      <w:r>
        <w:rPr>
          <w:iCs/>
          <w:i/>
        </w:rPr>
        <w:t xml:space="preserve">graphics for data analysis</w:t>
      </w:r>
      <w:r>
        <w:t xml:space="preserve">.</w:t>
      </w:r>
      <w:r>
        <w:t xml:space="preserve"> </w:t>
      </w:r>
      <w:r>
        <w:t xml:space="preserve">Springer-Verlag New York</w:t>
      </w:r>
      <w:r>
        <w:t xml:space="preserve">.</w:t>
      </w:r>
    </w:p>
    <w:bookmarkEnd w:id="260"/>
    <w:bookmarkStart w:id="262"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61">
        <w:r>
          <w:rPr>
            <w:rStyle w:val="Hyperlink"/>
          </w:rPr>
          <w:t xml:space="preserve">https://doi.org/10.1111/1365-2745.12369</w:t>
        </w:r>
      </w:hyperlink>
    </w:p>
    <w:bookmarkEnd w:id="262"/>
    <w:bookmarkStart w:id="264"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63">
        <w:r>
          <w:rPr>
            <w:rStyle w:val="Hyperlink"/>
          </w:rPr>
          <w:t xml:space="preserve">https://doi.org/10.1046/j.1523-1739.2000.99298.x</w:t>
        </w:r>
      </w:hyperlink>
    </w:p>
    <w:bookmarkEnd w:id="264"/>
    <w:bookmarkStart w:id="265"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65"/>
    <w:bookmarkStart w:id="267" w:name="ref-wrightSeasonalDroughtSoil1992"/>
    <w:p>
      <w:pPr>
        <w:pStyle w:val="Bibliography"/>
      </w:pPr>
      <w:r>
        <w:t xml:space="preserve">Wright, S. J.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66">
        <w:r>
          <w:rPr>
            <w:rStyle w:val="Hyperlink"/>
          </w:rPr>
          <w:t xml:space="preserve">https://doi.org/10.1016/0169-5347(92)90171-7</w:t>
        </w:r>
      </w:hyperlink>
    </w:p>
    <w:bookmarkEnd w:id="267"/>
    <w:bookmarkStart w:id="269"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68">
        <w:r>
          <w:rPr>
            <w:rStyle w:val="Hyperlink"/>
          </w:rPr>
          <w:t xml:space="preserve">https://doi.org/10.1111/j.1461-0248.2005.00851.x</w:t>
        </w:r>
      </w:hyperlink>
    </w:p>
    <w:bookmarkEnd w:id="269"/>
    <w:bookmarkStart w:id="270"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70"/>
    <w:bookmarkStart w:id="272"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71">
        <w:r>
          <w:rPr>
            <w:rStyle w:val="Hyperlink"/>
          </w:rPr>
          <w:t xml:space="preserve">https://doi.org/10.1002/joc.4518</w:t>
        </w:r>
      </w:hyperlink>
    </w:p>
    <w:bookmarkEnd w:id="272"/>
    <w:bookmarkStart w:id="273"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73"/>
    <w:bookmarkStart w:id="275"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74">
        <w:r>
          <w:rPr>
            <w:rStyle w:val="Hyperlink"/>
          </w:rPr>
          <w:t xml:space="preserve">https://doi.org/10.1088/1748-9326/3/1/014002</w:t>
        </w:r>
      </w:hyperlink>
    </w:p>
    <w:bookmarkEnd w:id="275"/>
    <w:bookmarkEnd w:id="276"/>
    <w:bookmarkEnd w:id="277"/>
    <w:sectPr w:rsidR="00AB409B" w:rsidRPr="00AB409B"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4672D5F8"/>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298E7ADE"/>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3DCE803A"/>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969C5F9A"/>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F8A44844"/>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B8B0D7A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8AC309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D9A4092A"/>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0B425C9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62E515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4619DF"/>
    <w:pPr>
      <w:keepNext/>
      <w:keepLines/>
      <w:spacing w:after="300" w:before="300" w:line="480" w:lineRule="auto"/>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AB409B"/>
    <w:pPr>
      <w:spacing w:line="480" w:lineRule="auto"/>
    </w:pPr>
    <w:rPr>
      <w:i w:val="0"/>
      <w:sz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 w:styleId="FollowedHyperlink" w:type="character">
    <w:name w:val="FollowedHyperlink"/>
    <w:basedOn w:val="DefaultParagraphFont"/>
    <w:semiHidden/>
    <w:unhideWhenUsed/>
    <w:rsid w:val="00AB409B"/>
    <w:rPr>
      <w:color w:themeColor="followedHyperlink"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hyperlink" Id="rId57" Target="https://CRAN.R-project.org/package=SPEI" TargetMode="External" /><Relationship Type="http://schemas.openxmlformats.org/officeDocument/2006/relationships/hyperlink" Id="rId177" Target="https://doi.org/10.1002/ecs2.1708" TargetMode="External" /><Relationship Type="http://schemas.openxmlformats.org/officeDocument/2006/relationships/hyperlink" Id="rId242" Target="https://doi.org/10.1002/ecy.2163" TargetMode="External" /><Relationship Type="http://schemas.openxmlformats.org/officeDocument/2006/relationships/hyperlink" Id="rId222" Target="https://doi.org/10.1002/ecy.2677" TargetMode="External" /><Relationship Type="http://schemas.openxmlformats.org/officeDocument/2006/relationships/hyperlink" Id="rId70" Target="https://doi.org/10.1002/ecy.2706" TargetMode="External" /><Relationship Type="http://schemas.openxmlformats.org/officeDocument/2006/relationships/hyperlink" Id="rId271" Target="https://doi.org/10.1002/joc.4518" TargetMode="External" /><Relationship Type="http://schemas.openxmlformats.org/officeDocument/2006/relationships/hyperlink" Id="rId74" Target="https://doi.org/10.1007/s00442-002-0956-y" TargetMode="External" /><Relationship Type="http://schemas.openxmlformats.org/officeDocument/2006/relationships/hyperlink" Id="rId49" Target="https://doi.org/10.1007/s00442-017-3879-3" TargetMode="External" /><Relationship Type="http://schemas.openxmlformats.org/officeDocument/2006/relationships/hyperlink" Id="rId202" Target="https://doi.org/10.1007/s11240-012-0160-7" TargetMode="External" /><Relationship Type="http://schemas.openxmlformats.org/officeDocument/2006/relationships/hyperlink" Id="rId214" Target="https://doi.org/10.1007/s11258-017-0754-6" TargetMode="External" /><Relationship Type="http://schemas.openxmlformats.org/officeDocument/2006/relationships/hyperlink" Id="rId55" Target="https://doi.org/10.1007/s11284-016-1411-6" TargetMode="External" /><Relationship Type="http://schemas.openxmlformats.org/officeDocument/2006/relationships/hyperlink" Id="rId266" Target="https://doi.org/10.1016/0169-5347(92)90171-7" TargetMode="External" /><Relationship Type="http://schemas.openxmlformats.org/officeDocument/2006/relationships/hyperlink" Id="rId66" Target="https://doi.org/10.1016/j.biocon.2008.04.024" TargetMode="External" /><Relationship Type="http://schemas.openxmlformats.org/officeDocument/2006/relationships/hyperlink" Id="rId127" Target="https://doi.org/10.1016/j.biocon.2010.11.015" TargetMode="External" /><Relationship Type="http://schemas.openxmlformats.org/officeDocument/2006/relationships/hyperlink" Id="rId172" Target="https://doi.org/10.1016/j.csda.2011.02.004" TargetMode="External" /><Relationship Type="http://schemas.openxmlformats.org/officeDocument/2006/relationships/hyperlink" Id="rId200" Target="https://doi.org/10.1016/j.ecoinf.2020.101178" TargetMode="External" /><Relationship Type="http://schemas.openxmlformats.org/officeDocument/2006/relationships/hyperlink" Id="rId129" Target="https://doi.org/10.1016/j.ecolmodel.2019.03.007" TargetMode="External" /><Relationship Type="http://schemas.openxmlformats.org/officeDocument/2006/relationships/hyperlink" Id="rId183" Target="https://doi.org/10.1016/j.foreco.2003.10.013" TargetMode="External" /><Relationship Type="http://schemas.openxmlformats.org/officeDocument/2006/relationships/hyperlink" Id="rId68" Target="https://doi.org/10.1016/j.tree.2011.09.008" TargetMode="External" /><Relationship Type="http://schemas.openxmlformats.org/officeDocument/2006/relationships/hyperlink" Id="rId107" Target="https://doi.org/10.1016/j.tree.2013.06.010" TargetMode="External" /><Relationship Type="http://schemas.openxmlformats.org/officeDocument/2006/relationships/hyperlink" Id="rId92" Target="https://doi.org/10.1017/S0266467403001081" TargetMode="External" /><Relationship Type="http://schemas.openxmlformats.org/officeDocument/2006/relationships/hyperlink" Id="rId210" Target="https://doi.org/10.1017/S0266467498000571" TargetMode="External" /><Relationship Type="http://schemas.openxmlformats.org/officeDocument/2006/relationships/hyperlink" Id="rId145" Target="https://doi.org/10.1029/2005GL025583" TargetMode="External" /><Relationship Type="http://schemas.openxmlformats.org/officeDocument/2006/relationships/hyperlink" Id="rId175" Target="https://doi.org/10.1038/19193" TargetMode="External" /><Relationship Type="http://schemas.openxmlformats.org/officeDocument/2006/relationships/hyperlink" Id="rId100" Target="https://doi.org/10.1038/35003563" TargetMode="External" /><Relationship Type="http://schemas.openxmlformats.org/officeDocument/2006/relationships/hyperlink" Id="rId72" Target="https://doi.org/10.1038/45963" TargetMode="External" /><Relationship Type="http://schemas.openxmlformats.org/officeDocument/2006/relationships/hyperlink" Id="rId220" Target="https://doi.org/10.1038/nature23021" TargetMode="External" /><Relationship Type="http://schemas.openxmlformats.org/officeDocument/2006/relationships/hyperlink" Id="rId238" Target="https://doi.org/10.1038/nature25508" TargetMode="External" /><Relationship Type="http://schemas.openxmlformats.org/officeDocument/2006/relationships/hyperlink" Id="rId189" Target="https://doi.org/10.1038/nclimate2746" TargetMode="External" /><Relationship Type="http://schemas.openxmlformats.org/officeDocument/2006/relationships/hyperlink" Id="rId228" Target="https://doi.org/10.1038/s41559-020-01368-x" TargetMode="External" /><Relationship Type="http://schemas.openxmlformats.org/officeDocument/2006/relationships/hyperlink" Id="rId216" Target="https://doi.org/10.1046/j.1365-2745.1999.00332.x" TargetMode="External" /><Relationship Type="http://schemas.openxmlformats.org/officeDocument/2006/relationships/hyperlink" Id="rId84" Target="https://doi.org/10.1046/j.1365-2745.2002.00707.x" TargetMode="External" /><Relationship Type="http://schemas.openxmlformats.org/officeDocument/2006/relationships/hyperlink" Id="rId263" Target="https://doi.org/10.1046/j.1523-1739.2000.99298.x" TargetMode="External" /><Relationship Type="http://schemas.openxmlformats.org/officeDocument/2006/relationships/hyperlink" Id="rId163" Target="https://doi.org/10.1046/j.1523-1739.2001.01093.x" TargetMode="External" /><Relationship Type="http://schemas.openxmlformats.org/officeDocument/2006/relationships/hyperlink" Id="rId80" Target="https://doi.org/10.1046/j.1523-1739.2002.99494.x" TargetMode="External" /><Relationship Type="http://schemas.openxmlformats.org/officeDocument/2006/relationships/hyperlink" Id="rId161" Target="https://doi.org/10.1073/pnas.0609048103" TargetMode="External" /><Relationship Type="http://schemas.openxmlformats.org/officeDocument/2006/relationships/hyperlink" Id="rId109" Target="https://doi.org/10.1073/pnas.1421010112" TargetMode="External" /><Relationship Type="http://schemas.openxmlformats.org/officeDocument/2006/relationships/hyperlink" Id="rId51" Target="https://doi.org/10.1073/pnas.1611855114" TargetMode="External" /><Relationship Type="http://schemas.openxmlformats.org/officeDocument/2006/relationships/hyperlink" Id="rId274" Target="https://doi.org/10.1088/1748-9326/3/1/014002" TargetMode="External" /><Relationship Type="http://schemas.openxmlformats.org/officeDocument/2006/relationships/hyperlink" Id="rId149" Target="https://doi.org/10.1088/1748-9326/9/12/124021" TargetMode="External" /><Relationship Type="http://schemas.openxmlformats.org/officeDocument/2006/relationships/hyperlink" Id="rId153" Target="https://doi.org/10.1111/1365-2435.13145" TargetMode="External" /><Relationship Type="http://schemas.openxmlformats.org/officeDocument/2006/relationships/hyperlink" Id="rId192" Target="https://doi.org/10.1111/1365-2656.13467" TargetMode="External" /><Relationship Type="http://schemas.openxmlformats.org/officeDocument/2006/relationships/hyperlink" Id="rId212" Target="https://doi.org/10.1111/1365-2745.12334" TargetMode="External" /><Relationship Type="http://schemas.openxmlformats.org/officeDocument/2006/relationships/hyperlink" Id="rId261" Target="https://doi.org/10.1111/1365-2745.12369" TargetMode="External" /><Relationship Type="http://schemas.openxmlformats.org/officeDocument/2006/relationships/hyperlink" Id="rId114" Target="https://doi.org/10.1111/1365-2745.12523" TargetMode="External" /><Relationship Type="http://schemas.openxmlformats.org/officeDocument/2006/relationships/hyperlink" Id="rId258" Target="https://doi.org/10.1111/1365-2745.12757" TargetMode="External" /><Relationship Type="http://schemas.openxmlformats.org/officeDocument/2006/relationships/hyperlink" Id="rId47" Target="https://doi.org/10.1111/1365-2745.13595" TargetMode="External" /><Relationship Type="http://schemas.openxmlformats.org/officeDocument/2006/relationships/hyperlink" Id="rId141" Target="https://doi.org/10.1111/1749-4877.12167" TargetMode="External" /><Relationship Type="http://schemas.openxmlformats.org/officeDocument/2006/relationships/hyperlink" Id="rId240" Target="https://doi.org/10.1111/2041-210X.12486" TargetMode="External" /><Relationship Type="http://schemas.openxmlformats.org/officeDocument/2006/relationships/hyperlink" Id="rId133" Target="https://doi.org/10.1111/biom.12645" TargetMode="External" /><Relationship Type="http://schemas.openxmlformats.org/officeDocument/2006/relationships/hyperlink" Id="rId226" Target="https://doi.org/10.1111/brv.12136" TargetMode="External" /><Relationship Type="http://schemas.openxmlformats.org/officeDocument/2006/relationships/hyperlink" Id="rId61" Target="https://doi.org/10.1111/btp.12010" TargetMode="External" /><Relationship Type="http://schemas.openxmlformats.org/officeDocument/2006/relationships/hyperlink" Id="rId218" Target="https://doi.org/10.1111/btp.12355" TargetMode="External" /><Relationship Type="http://schemas.openxmlformats.org/officeDocument/2006/relationships/hyperlink" Id="rId252" Target="https://doi.org/10.1111/btp.12380" TargetMode="External" /><Relationship Type="http://schemas.openxmlformats.org/officeDocument/2006/relationships/hyperlink" Id="rId224" Target="https://doi.org/10.1111/een.13023" TargetMode="External" /><Relationship Type="http://schemas.openxmlformats.org/officeDocument/2006/relationships/hyperlink" Id="rId187" Target="https://doi.org/10.1111/ele.12399" TargetMode="External" /><Relationship Type="http://schemas.openxmlformats.org/officeDocument/2006/relationships/hyperlink" Id="rId151" Target="https://doi.org/10.1111/ele.13485" TargetMode="External" /><Relationship Type="http://schemas.openxmlformats.org/officeDocument/2006/relationships/hyperlink" Id="rId137" Target="https://doi.org/10.1111/ele.13659" TargetMode="External" /><Relationship Type="http://schemas.openxmlformats.org/officeDocument/2006/relationships/hyperlink" Id="rId250" Target="https://doi.org/10.1111/gcb.14000" TargetMode="External" /><Relationship Type="http://schemas.openxmlformats.org/officeDocument/2006/relationships/hyperlink" Id="rId117" Target="https://doi.org/10.1111/gcb.14413" TargetMode="External" /><Relationship Type="http://schemas.openxmlformats.org/officeDocument/2006/relationships/hyperlink" Id="rId121" Target="https://doi.org/10.1111/gcb.15519" TargetMode="External" /><Relationship Type="http://schemas.openxmlformats.org/officeDocument/2006/relationships/hyperlink" Id="rId125" Target="https://doi.org/10.1111/j.1365-2486.2012.02719.x" TargetMode="External" /><Relationship Type="http://schemas.openxmlformats.org/officeDocument/2006/relationships/hyperlink" Id="rId231" Target="https://doi.org/10.1111/j.1365-2745.2005.01008.x" TargetMode="External" /><Relationship Type="http://schemas.openxmlformats.org/officeDocument/2006/relationships/hyperlink" Id="rId268" Target="https://doi.org/10.1111/j.1461-0248.2005.00851.x" TargetMode="External" /><Relationship Type="http://schemas.openxmlformats.org/officeDocument/2006/relationships/hyperlink" Id="rId198" Target="https://doi.org/10.1111/j.1469-8137.2010.03359.x" TargetMode="External" /><Relationship Type="http://schemas.openxmlformats.org/officeDocument/2006/relationships/hyperlink" Id="rId170" Target="https://doi.org/10.1111/j.1469-8137.2010.03391.x" TargetMode="External" /><Relationship Type="http://schemas.openxmlformats.org/officeDocument/2006/relationships/hyperlink" Id="rId102" Target="https://doi.org/10.1111/j.1600-0706.2011.20273.x" TargetMode="External" /><Relationship Type="http://schemas.openxmlformats.org/officeDocument/2006/relationships/hyperlink" Id="rId78" Target="https://doi.org/10.1111/j.1654-1103.2009.01060.x" TargetMode="External" /><Relationship Type="http://schemas.openxmlformats.org/officeDocument/2006/relationships/hyperlink" Id="rId104" Target="https://doi.org/10.1111/j.1744-7429.1999.tb00113.x" TargetMode="External" /><Relationship Type="http://schemas.openxmlformats.org/officeDocument/2006/relationships/hyperlink" Id="rId244" Target="https://doi.org/10.1111/j.1744-7429.2003.tb00278.x" TargetMode="External" /><Relationship Type="http://schemas.openxmlformats.org/officeDocument/2006/relationships/hyperlink" Id="rId112" Target="https://doi.org/10.1111/j.1744-7429.2006.00098.x" TargetMode="External" /><Relationship Type="http://schemas.openxmlformats.org/officeDocument/2006/relationships/hyperlink" Id="rId95" Target="https://doi.org/10.1111/mec.12495" TargetMode="External" /><Relationship Type="http://schemas.openxmlformats.org/officeDocument/2006/relationships/hyperlink" Id="rId166" Target="https://doi.org/10.1111/nph.15110" TargetMode="External" /><Relationship Type="http://schemas.openxmlformats.org/officeDocument/2006/relationships/hyperlink" Id="rId119" Target="https://doi.org/10.1111/nph.17005" TargetMode="External" /><Relationship Type="http://schemas.openxmlformats.org/officeDocument/2006/relationships/hyperlink" Id="rId139" Target="https://doi.org/10.1126/sciadv.1500052" TargetMode="External" /><Relationship Type="http://schemas.openxmlformats.org/officeDocument/2006/relationships/hyperlink" Id="rId53" Target="https://doi.org/10.1126/science.aab1833" TargetMode="External" /><Relationship Type="http://schemas.openxmlformats.org/officeDocument/2006/relationships/hyperlink" Id="rId59" Target="https://doi.org/10.1126/science.aax9387" TargetMode="External" /><Relationship Type="http://schemas.openxmlformats.org/officeDocument/2006/relationships/hyperlink" Id="rId90" Target="https://doi.org/10.1139/x90-084" TargetMode="External" /><Relationship Type="http://schemas.openxmlformats.org/officeDocument/2006/relationships/hyperlink" Id="rId168" Target="https://doi.org/10.1175/2007JCLI1600.1" TargetMode="External" /><Relationship Type="http://schemas.openxmlformats.org/officeDocument/2006/relationships/hyperlink" Id="rId256" Target="https://doi.org/10.1175/2009JCLI2909.1" TargetMode="External" /><Relationship Type="http://schemas.openxmlformats.org/officeDocument/2006/relationships/hyperlink" Id="rId123" Target="https://doi.org/10.1371/journal.pone.0058093" TargetMode="External" /><Relationship Type="http://schemas.openxmlformats.org/officeDocument/2006/relationships/hyperlink" Id="rId205" Target="https://doi.org/10.1590/1809-43921992224534" TargetMode="External" /><Relationship Type="http://schemas.openxmlformats.org/officeDocument/2006/relationships/hyperlink" Id="rId82" Target="https://doi.org/10.1590/S0044-59672004000300012" TargetMode="External" /><Relationship Type="http://schemas.openxmlformats.org/officeDocument/2006/relationships/hyperlink" Id="rId195" Target="https://doi.org/10.1673/031.003.3401" TargetMode="External" /><Relationship Type="http://schemas.openxmlformats.org/officeDocument/2006/relationships/hyperlink" Id="rId97" Target="https://doi.org/10.17660/ActaHortic.1995.397.7" TargetMode="External" /><Relationship Type="http://schemas.openxmlformats.org/officeDocument/2006/relationships/hyperlink" Id="rId131" Target="https://doi.org/10.18637/jss.v043.i08" TargetMode="External" /><Relationship Type="http://schemas.openxmlformats.org/officeDocument/2006/relationships/hyperlink" Id="rId76" Target="https://doi.org/10.1890/0012-9658(2003)084[0932:APPIFH]2.0.CO;2" TargetMode="External" /><Relationship Type="http://schemas.openxmlformats.org/officeDocument/2006/relationships/hyperlink" Id="rId254" Target="https://doi.org/10.1890/03-5093" TargetMode="External" /><Relationship Type="http://schemas.openxmlformats.org/officeDocument/2006/relationships/hyperlink" Id="rId86" Target="https://doi.org/10.1890/04-1716" TargetMode="External" /><Relationship Type="http://schemas.openxmlformats.org/officeDocument/2006/relationships/hyperlink" Id="rId180" Target="https://doi.org/10.1890/07-0774.1" TargetMode="External" /><Relationship Type="http://schemas.openxmlformats.org/officeDocument/2006/relationships/hyperlink" Id="rId248" Target="https://doi.org/10.1890/09-0785.1" TargetMode="External" /><Relationship Type="http://schemas.openxmlformats.org/officeDocument/2006/relationships/hyperlink" Id="rId246" Target="https://doi.org/10.1890/10-0709.1" TargetMode="External" /><Relationship Type="http://schemas.openxmlformats.org/officeDocument/2006/relationships/hyperlink" Id="rId158" Target="https://doi.org/10.1890/14-0330.1" TargetMode="External" /><Relationship Type="http://schemas.openxmlformats.org/officeDocument/2006/relationships/hyperlink" Id="rId64" Target="https://doi.org/10.2307/1312085" TargetMode="External" /><Relationship Type="http://schemas.openxmlformats.org/officeDocument/2006/relationships/hyperlink" Id="rId235" Target="https://doi.org/10.2307/1934961" TargetMode="External" /><Relationship Type="http://schemas.openxmlformats.org/officeDocument/2006/relationships/hyperlink" Id="rId143" Target="https://doi.org/10.2307/1941152" TargetMode="External" /><Relationship Type="http://schemas.openxmlformats.org/officeDocument/2006/relationships/hyperlink" Id="rId233" Target="https://doi.org/10.2307/2387865" TargetMode="External" /><Relationship Type="http://schemas.openxmlformats.org/officeDocument/2006/relationships/hyperlink" Id="rId135" Target="https://doi.org/10.2307/2388737" TargetMode="External" /><Relationship Type="http://schemas.openxmlformats.org/officeDocument/2006/relationships/hyperlink" Id="rId88" Target="https://doi.org/10.3732/ajb.92.12.2101" TargetMode="External" /><Relationship Type="http://schemas.openxmlformats.org/officeDocument/2006/relationships/hyperlink" Id="rId147" Target="https://doi.org/10.5194/bg-2021-30" TargetMode="External" /><Relationship Type="http://schemas.openxmlformats.org/officeDocument/2006/relationships/hyperlink" Id="rId208" Target="https://doi.org/10.7717/peerj.9958" TargetMode="External" /><Relationship Type="http://schemas.openxmlformats.org/officeDocument/2006/relationships/hyperlink" Id="rId185" Target="https://doi.org/10.9735/0975-3710.10.3.5137-5139" TargetMode="External" /><Relationship Type="http://schemas.openxmlformats.org/officeDocument/2006/relationships/hyperlink" Id="rId156" Target="https://doi.org/ghwrqs"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57" Target="https://CRAN.R-project.org/package=SPEI" TargetMode="External" /><Relationship Type="http://schemas.openxmlformats.org/officeDocument/2006/relationships/hyperlink" Id="rId177" Target="https://doi.org/10.1002/ecs2.1708" TargetMode="External" /><Relationship Type="http://schemas.openxmlformats.org/officeDocument/2006/relationships/hyperlink" Id="rId242" Target="https://doi.org/10.1002/ecy.2163" TargetMode="External" /><Relationship Type="http://schemas.openxmlformats.org/officeDocument/2006/relationships/hyperlink" Id="rId222" Target="https://doi.org/10.1002/ecy.2677" TargetMode="External" /><Relationship Type="http://schemas.openxmlformats.org/officeDocument/2006/relationships/hyperlink" Id="rId70" Target="https://doi.org/10.1002/ecy.2706" TargetMode="External" /><Relationship Type="http://schemas.openxmlformats.org/officeDocument/2006/relationships/hyperlink" Id="rId271" Target="https://doi.org/10.1002/joc.4518" TargetMode="External" /><Relationship Type="http://schemas.openxmlformats.org/officeDocument/2006/relationships/hyperlink" Id="rId74" Target="https://doi.org/10.1007/s00442-002-0956-y" TargetMode="External" /><Relationship Type="http://schemas.openxmlformats.org/officeDocument/2006/relationships/hyperlink" Id="rId49" Target="https://doi.org/10.1007/s00442-017-3879-3" TargetMode="External" /><Relationship Type="http://schemas.openxmlformats.org/officeDocument/2006/relationships/hyperlink" Id="rId202" Target="https://doi.org/10.1007/s11240-012-0160-7" TargetMode="External" /><Relationship Type="http://schemas.openxmlformats.org/officeDocument/2006/relationships/hyperlink" Id="rId214" Target="https://doi.org/10.1007/s11258-017-0754-6" TargetMode="External" /><Relationship Type="http://schemas.openxmlformats.org/officeDocument/2006/relationships/hyperlink" Id="rId55" Target="https://doi.org/10.1007/s11284-016-1411-6" TargetMode="External" /><Relationship Type="http://schemas.openxmlformats.org/officeDocument/2006/relationships/hyperlink" Id="rId266" Target="https://doi.org/10.1016/0169-5347(92)90171-7" TargetMode="External" /><Relationship Type="http://schemas.openxmlformats.org/officeDocument/2006/relationships/hyperlink" Id="rId66" Target="https://doi.org/10.1016/j.biocon.2008.04.024" TargetMode="External" /><Relationship Type="http://schemas.openxmlformats.org/officeDocument/2006/relationships/hyperlink" Id="rId127" Target="https://doi.org/10.1016/j.biocon.2010.11.015" TargetMode="External" /><Relationship Type="http://schemas.openxmlformats.org/officeDocument/2006/relationships/hyperlink" Id="rId172" Target="https://doi.org/10.1016/j.csda.2011.02.004" TargetMode="External" /><Relationship Type="http://schemas.openxmlformats.org/officeDocument/2006/relationships/hyperlink" Id="rId200" Target="https://doi.org/10.1016/j.ecoinf.2020.101178" TargetMode="External" /><Relationship Type="http://schemas.openxmlformats.org/officeDocument/2006/relationships/hyperlink" Id="rId129" Target="https://doi.org/10.1016/j.ecolmodel.2019.03.007" TargetMode="External" /><Relationship Type="http://schemas.openxmlformats.org/officeDocument/2006/relationships/hyperlink" Id="rId183" Target="https://doi.org/10.1016/j.foreco.2003.10.013" TargetMode="External" /><Relationship Type="http://schemas.openxmlformats.org/officeDocument/2006/relationships/hyperlink" Id="rId68" Target="https://doi.org/10.1016/j.tree.2011.09.008" TargetMode="External" /><Relationship Type="http://schemas.openxmlformats.org/officeDocument/2006/relationships/hyperlink" Id="rId107" Target="https://doi.org/10.1016/j.tree.2013.06.010" TargetMode="External" /><Relationship Type="http://schemas.openxmlformats.org/officeDocument/2006/relationships/hyperlink" Id="rId92" Target="https://doi.org/10.1017/S0266467403001081" TargetMode="External" /><Relationship Type="http://schemas.openxmlformats.org/officeDocument/2006/relationships/hyperlink" Id="rId210" Target="https://doi.org/10.1017/S0266467498000571" TargetMode="External" /><Relationship Type="http://schemas.openxmlformats.org/officeDocument/2006/relationships/hyperlink" Id="rId145" Target="https://doi.org/10.1029/2005GL025583" TargetMode="External" /><Relationship Type="http://schemas.openxmlformats.org/officeDocument/2006/relationships/hyperlink" Id="rId175" Target="https://doi.org/10.1038/19193" TargetMode="External" /><Relationship Type="http://schemas.openxmlformats.org/officeDocument/2006/relationships/hyperlink" Id="rId100" Target="https://doi.org/10.1038/35003563" TargetMode="External" /><Relationship Type="http://schemas.openxmlformats.org/officeDocument/2006/relationships/hyperlink" Id="rId72" Target="https://doi.org/10.1038/45963" TargetMode="External" /><Relationship Type="http://schemas.openxmlformats.org/officeDocument/2006/relationships/hyperlink" Id="rId220" Target="https://doi.org/10.1038/nature23021" TargetMode="External" /><Relationship Type="http://schemas.openxmlformats.org/officeDocument/2006/relationships/hyperlink" Id="rId238" Target="https://doi.org/10.1038/nature25508" TargetMode="External" /><Relationship Type="http://schemas.openxmlformats.org/officeDocument/2006/relationships/hyperlink" Id="rId189" Target="https://doi.org/10.1038/nclimate2746" TargetMode="External" /><Relationship Type="http://schemas.openxmlformats.org/officeDocument/2006/relationships/hyperlink" Id="rId228" Target="https://doi.org/10.1038/s41559-020-01368-x" TargetMode="External" /><Relationship Type="http://schemas.openxmlformats.org/officeDocument/2006/relationships/hyperlink" Id="rId216" Target="https://doi.org/10.1046/j.1365-2745.1999.00332.x" TargetMode="External" /><Relationship Type="http://schemas.openxmlformats.org/officeDocument/2006/relationships/hyperlink" Id="rId84" Target="https://doi.org/10.1046/j.1365-2745.2002.00707.x" TargetMode="External" /><Relationship Type="http://schemas.openxmlformats.org/officeDocument/2006/relationships/hyperlink" Id="rId263" Target="https://doi.org/10.1046/j.1523-1739.2000.99298.x" TargetMode="External" /><Relationship Type="http://schemas.openxmlformats.org/officeDocument/2006/relationships/hyperlink" Id="rId163" Target="https://doi.org/10.1046/j.1523-1739.2001.01093.x" TargetMode="External" /><Relationship Type="http://schemas.openxmlformats.org/officeDocument/2006/relationships/hyperlink" Id="rId80" Target="https://doi.org/10.1046/j.1523-1739.2002.99494.x" TargetMode="External" /><Relationship Type="http://schemas.openxmlformats.org/officeDocument/2006/relationships/hyperlink" Id="rId161" Target="https://doi.org/10.1073/pnas.0609048103" TargetMode="External" /><Relationship Type="http://schemas.openxmlformats.org/officeDocument/2006/relationships/hyperlink" Id="rId109" Target="https://doi.org/10.1073/pnas.1421010112" TargetMode="External" /><Relationship Type="http://schemas.openxmlformats.org/officeDocument/2006/relationships/hyperlink" Id="rId51" Target="https://doi.org/10.1073/pnas.1611855114" TargetMode="External" /><Relationship Type="http://schemas.openxmlformats.org/officeDocument/2006/relationships/hyperlink" Id="rId274" Target="https://doi.org/10.1088/1748-9326/3/1/014002" TargetMode="External" /><Relationship Type="http://schemas.openxmlformats.org/officeDocument/2006/relationships/hyperlink" Id="rId149" Target="https://doi.org/10.1088/1748-9326/9/12/124021" TargetMode="External" /><Relationship Type="http://schemas.openxmlformats.org/officeDocument/2006/relationships/hyperlink" Id="rId153" Target="https://doi.org/10.1111/1365-2435.13145" TargetMode="External" /><Relationship Type="http://schemas.openxmlformats.org/officeDocument/2006/relationships/hyperlink" Id="rId192" Target="https://doi.org/10.1111/1365-2656.13467" TargetMode="External" /><Relationship Type="http://schemas.openxmlformats.org/officeDocument/2006/relationships/hyperlink" Id="rId212" Target="https://doi.org/10.1111/1365-2745.12334" TargetMode="External" /><Relationship Type="http://schemas.openxmlformats.org/officeDocument/2006/relationships/hyperlink" Id="rId261" Target="https://doi.org/10.1111/1365-2745.12369" TargetMode="External" /><Relationship Type="http://schemas.openxmlformats.org/officeDocument/2006/relationships/hyperlink" Id="rId114" Target="https://doi.org/10.1111/1365-2745.12523" TargetMode="External" /><Relationship Type="http://schemas.openxmlformats.org/officeDocument/2006/relationships/hyperlink" Id="rId258" Target="https://doi.org/10.1111/1365-2745.12757" TargetMode="External" /><Relationship Type="http://schemas.openxmlformats.org/officeDocument/2006/relationships/hyperlink" Id="rId47" Target="https://doi.org/10.1111/1365-2745.13595" TargetMode="External" /><Relationship Type="http://schemas.openxmlformats.org/officeDocument/2006/relationships/hyperlink" Id="rId141" Target="https://doi.org/10.1111/1749-4877.12167" TargetMode="External" /><Relationship Type="http://schemas.openxmlformats.org/officeDocument/2006/relationships/hyperlink" Id="rId240" Target="https://doi.org/10.1111/2041-210X.12486" TargetMode="External" /><Relationship Type="http://schemas.openxmlformats.org/officeDocument/2006/relationships/hyperlink" Id="rId133" Target="https://doi.org/10.1111/biom.12645" TargetMode="External" /><Relationship Type="http://schemas.openxmlformats.org/officeDocument/2006/relationships/hyperlink" Id="rId226" Target="https://doi.org/10.1111/brv.12136" TargetMode="External" /><Relationship Type="http://schemas.openxmlformats.org/officeDocument/2006/relationships/hyperlink" Id="rId61" Target="https://doi.org/10.1111/btp.12010" TargetMode="External" /><Relationship Type="http://schemas.openxmlformats.org/officeDocument/2006/relationships/hyperlink" Id="rId218" Target="https://doi.org/10.1111/btp.12355" TargetMode="External" /><Relationship Type="http://schemas.openxmlformats.org/officeDocument/2006/relationships/hyperlink" Id="rId252" Target="https://doi.org/10.1111/btp.12380" TargetMode="External" /><Relationship Type="http://schemas.openxmlformats.org/officeDocument/2006/relationships/hyperlink" Id="rId224" Target="https://doi.org/10.1111/een.13023" TargetMode="External" /><Relationship Type="http://schemas.openxmlformats.org/officeDocument/2006/relationships/hyperlink" Id="rId187" Target="https://doi.org/10.1111/ele.12399" TargetMode="External" /><Relationship Type="http://schemas.openxmlformats.org/officeDocument/2006/relationships/hyperlink" Id="rId151" Target="https://doi.org/10.1111/ele.13485" TargetMode="External" /><Relationship Type="http://schemas.openxmlformats.org/officeDocument/2006/relationships/hyperlink" Id="rId137" Target="https://doi.org/10.1111/ele.13659" TargetMode="External" /><Relationship Type="http://schemas.openxmlformats.org/officeDocument/2006/relationships/hyperlink" Id="rId250" Target="https://doi.org/10.1111/gcb.14000" TargetMode="External" /><Relationship Type="http://schemas.openxmlformats.org/officeDocument/2006/relationships/hyperlink" Id="rId117" Target="https://doi.org/10.1111/gcb.14413" TargetMode="External" /><Relationship Type="http://schemas.openxmlformats.org/officeDocument/2006/relationships/hyperlink" Id="rId121" Target="https://doi.org/10.1111/gcb.15519" TargetMode="External" /><Relationship Type="http://schemas.openxmlformats.org/officeDocument/2006/relationships/hyperlink" Id="rId125" Target="https://doi.org/10.1111/j.1365-2486.2012.02719.x" TargetMode="External" /><Relationship Type="http://schemas.openxmlformats.org/officeDocument/2006/relationships/hyperlink" Id="rId231" Target="https://doi.org/10.1111/j.1365-2745.2005.01008.x" TargetMode="External" /><Relationship Type="http://schemas.openxmlformats.org/officeDocument/2006/relationships/hyperlink" Id="rId268" Target="https://doi.org/10.1111/j.1461-0248.2005.00851.x" TargetMode="External" /><Relationship Type="http://schemas.openxmlformats.org/officeDocument/2006/relationships/hyperlink" Id="rId198" Target="https://doi.org/10.1111/j.1469-8137.2010.03359.x" TargetMode="External" /><Relationship Type="http://schemas.openxmlformats.org/officeDocument/2006/relationships/hyperlink" Id="rId170" Target="https://doi.org/10.1111/j.1469-8137.2010.03391.x" TargetMode="External" /><Relationship Type="http://schemas.openxmlformats.org/officeDocument/2006/relationships/hyperlink" Id="rId102" Target="https://doi.org/10.1111/j.1600-0706.2011.20273.x" TargetMode="External" /><Relationship Type="http://schemas.openxmlformats.org/officeDocument/2006/relationships/hyperlink" Id="rId78" Target="https://doi.org/10.1111/j.1654-1103.2009.01060.x" TargetMode="External" /><Relationship Type="http://schemas.openxmlformats.org/officeDocument/2006/relationships/hyperlink" Id="rId104" Target="https://doi.org/10.1111/j.1744-7429.1999.tb00113.x" TargetMode="External" /><Relationship Type="http://schemas.openxmlformats.org/officeDocument/2006/relationships/hyperlink" Id="rId244" Target="https://doi.org/10.1111/j.1744-7429.2003.tb00278.x" TargetMode="External" /><Relationship Type="http://schemas.openxmlformats.org/officeDocument/2006/relationships/hyperlink" Id="rId112" Target="https://doi.org/10.1111/j.1744-7429.2006.00098.x" TargetMode="External" /><Relationship Type="http://schemas.openxmlformats.org/officeDocument/2006/relationships/hyperlink" Id="rId95" Target="https://doi.org/10.1111/mec.12495" TargetMode="External" /><Relationship Type="http://schemas.openxmlformats.org/officeDocument/2006/relationships/hyperlink" Id="rId166" Target="https://doi.org/10.1111/nph.15110" TargetMode="External" /><Relationship Type="http://schemas.openxmlformats.org/officeDocument/2006/relationships/hyperlink" Id="rId119" Target="https://doi.org/10.1111/nph.17005" TargetMode="External" /><Relationship Type="http://schemas.openxmlformats.org/officeDocument/2006/relationships/hyperlink" Id="rId139" Target="https://doi.org/10.1126/sciadv.1500052" TargetMode="External" /><Relationship Type="http://schemas.openxmlformats.org/officeDocument/2006/relationships/hyperlink" Id="rId53" Target="https://doi.org/10.1126/science.aab1833" TargetMode="External" /><Relationship Type="http://schemas.openxmlformats.org/officeDocument/2006/relationships/hyperlink" Id="rId59" Target="https://doi.org/10.1126/science.aax9387" TargetMode="External" /><Relationship Type="http://schemas.openxmlformats.org/officeDocument/2006/relationships/hyperlink" Id="rId90" Target="https://doi.org/10.1139/x90-084" TargetMode="External" /><Relationship Type="http://schemas.openxmlformats.org/officeDocument/2006/relationships/hyperlink" Id="rId168" Target="https://doi.org/10.1175/2007JCLI1600.1" TargetMode="External" /><Relationship Type="http://schemas.openxmlformats.org/officeDocument/2006/relationships/hyperlink" Id="rId256" Target="https://doi.org/10.1175/2009JCLI2909.1" TargetMode="External" /><Relationship Type="http://schemas.openxmlformats.org/officeDocument/2006/relationships/hyperlink" Id="rId123" Target="https://doi.org/10.1371/journal.pone.0058093" TargetMode="External" /><Relationship Type="http://schemas.openxmlformats.org/officeDocument/2006/relationships/hyperlink" Id="rId205" Target="https://doi.org/10.1590/1809-43921992224534" TargetMode="External" /><Relationship Type="http://schemas.openxmlformats.org/officeDocument/2006/relationships/hyperlink" Id="rId82" Target="https://doi.org/10.1590/S0044-59672004000300012" TargetMode="External" /><Relationship Type="http://schemas.openxmlformats.org/officeDocument/2006/relationships/hyperlink" Id="rId195" Target="https://doi.org/10.1673/031.003.3401" TargetMode="External" /><Relationship Type="http://schemas.openxmlformats.org/officeDocument/2006/relationships/hyperlink" Id="rId97" Target="https://doi.org/10.17660/ActaHortic.1995.397.7" TargetMode="External" /><Relationship Type="http://schemas.openxmlformats.org/officeDocument/2006/relationships/hyperlink" Id="rId131" Target="https://doi.org/10.18637/jss.v043.i08" TargetMode="External" /><Relationship Type="http://schemas.openxmlformats.org/officeDocument/2006/relationships/hyperlink" Id="rId76" Target="https://doi.org/10.1890/0012-9658(2003)084[0932:APPIFH]2.0.CO;2" TargetMode="External" /><Relationship Type="http://schemas.openxmlformats.org/officeDocument/2006/relationships/hyperlink" Id="rId254" Target="https://doi.org/10.1890/03-5093" TargetMode="External" /><Relationship Type="http://schemas.openxmlformats.org/officeDocument/2006/relationships/hyperlink" Id="rId86" Target="https://doi.org/10.1890/04-1716" TargetMode="External" /><Relationship Type="http://schemas.openxmlformats.org/officeDocument/2006/relationships/hyperlink" Id="rId180" Target="https://doi.org/10.1890/07-0774.1" TargetMode="External" /><Relationship Type="http://schemas.openxmlformats.org/officeDocument/2006/relationships/hyperlink" Id="rId248" Target="https://doi.org/10.1890/09-0785.1" TargetMode="External" /><Relationship Type="http://schemas.openxmlformats.org/officeDocument/2006/relationships/hyperlink" Id="rId246" Target="https://doi.org/10.1890/10-0709.1" TargetMode="External" /><Relationship Type="http://schemas.openxmlformats.org/officeDocument/2006/relationships/hyperlink" Id="rId158" Target="https://doi.org/10.1890/14-0330.1" TargetMode="External" /><Relationship Type="http://schemas.openxmlformats.org/officeDocument/2006/relationships/hyperlink" Id="rId64" Target="https://doi.org/10.2307/1312085" TargetMode="External" /><Relationship Type="http://schemas.openxmlformats.org/officeDocument/2006/relationships/hyperlink" Id="rId235" Target="https://doi.org/10.2307/1934961" TargetMode="External" /><Relationship Type="http://schemas.openxmlformats.org/officeDocument/2006/relationships/hyperlink" Id="rId143" Target="https://doi.org/10.2307/1941152" TargetMode="External" /><Relationship Type="http://schemas.openxmlformats.org/officeDocument/2006/relationships/hyperlink" Id="rId233" Target="https://doi.org/10.2307/2387865" TargetMode="External" /><Relationship Type="http://schemas.openxmlformats.org/officeDocument/2006/relationships/hyperlink" Id="rId135" Target="https://doi.org/10.2307/2388737" TargetMode="External" /><Relationship Type="http://schemas.openxmlformats.org/officeDocument/2006/relationships/hyperlink" Id="rId88" Target="https://doi.org/10.3732/ajb.92.12.2101" TargetMode="External" /><Relationship Type="http://schemas.openxmlformats.org/officeDocument/2006/relationships/hyperlink" Id="rId147" Target="https://doi.org/10.5194/bg-2021-30" TargetMode="External" /><Relationship Type="http://schemas.openxmlformats.org/officeDocument/2006/relationships/hyperlink" Id="rId208" Target="https://doi.org/10.7717/peerj.9958" TargetMode="External" /><Relationship Type="http://schemas.openxmlformats.org/officeDocument/2006/relationships/hyperlink" Id="rId185" Target="https://doi.org/10.9735/0975-3710.10.3.5137-5139" TargetMode="External" /><Relationship Type="http://schemas.openxmlformats.org/officeDocument/2006/relationships/hyperlink" Id="rId156" Target="https://doi.org/ghwrqs"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Pages>
  <Words>181</Words>
  <Characters>1037</Characters>
  <Application>Microsoft Office Word</Application>
  <DocSecurity>0</DocSecurity>
  <Lines>8</Lines>
  <Paragraphs>2</Paragraphs>
  <ScaleCrop>false</ScaleCrop>
  <Company/>
  <LinksUpToDate>false</LinksUpToDate>
  <CharactersWithSpaces>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climate on vital rates lead to demographic divergence in Amazonian forest fragments</dc:title>
  <dc:creator>Eric R. Scott1,✉, María Uriarte2, and Emilio M. Bruna1,3,4</dc:creator>
  <cp:keywords/>
  <dcterms:created xsi:type="dcterms:W3CDTF">2021-08-24T20:53:44Z</dcterms:created>
  <dcterms:modified xsi:type="dcterms:W3CDTF">2021-08-24T20:53:44Z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references.bib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templates/global-change-biology.csl</vt:lpwstr>
  </property>
  <property fmtid="{D5CDD505-2E9C-101B-9397-08002B2CF9AE}" pid="15" name="date">
    <vt:lpwstr>24 August, 2021</vt:lpwstr>
  </property>
  <property fmtid="{D5CDD505-2E9C-101B-9397-08002B2CF9AE}" pid="16" name="editor_options">
    <vt:lpwstr/>
  </property>
  <property fmtid="{D5CDD505-2E9C-101B-9397-08002B2CF9AE}" pid="17" name="eqLabels">
    <vt:lpwstr>arabic</vt:lpwstr>
  </property>
  <property fmtid="{D5CDD505-2E9C-101B-9397-08002B2CF9AE}" pid="18" name="eqnPrefix">
    <vt:lpwstr/>
  </property>
  <property fmtid="{D5CDD505-2E9C-101B-9397-08002B2CF9AE}" pid="19" name="eqnPrefixTemplate">
    <vt:lpwstr>p i</vt:lpwstr>
  </property>
  <property fmtid="{D5CDD505-2E9C-101B-9397-08002B2CF9AE}" pid="20" name="figLabels">
    <vt:lpwstr>arabic</vt:lpwstr>
  </property>
  <property fmtid="{D5CDD505-2E9C-101B-9397-08002B2CF9AE}" pid="21" name="figPrefix">
    <vt:lpwstr/>
  </property>
  <property fmtid="{D5CDD505-2E9C-101B-9397-08002B2CF9AE}" pid="22" name="figPrefixTemplate">
    <vt:lpwstr>p i</vt:lpwstr>
  </property>
  <property fmtid="{D5CDD505-2E9C-101B-9397-08002B2CF9AE}" pid="23" name="figureTemplate">
    <vt:lpwstr>figureTitle ititleDelim t</vt:lpwstr>
  </property>
  <property fmtid="{D5CDD505-2E9C-101B-9397-08002B2CF9AE}" pid="24" name="figureTitle">
    <vt:lpwstr>Figure</vt:lpwstr>
  </property>
  <property fmtid="{D5CDD505-2E9C-101B-9397-08002B2CF9AE}" pid="25" name="highlights">
    <vt:lpwstr>These are the highlights</vt:lpwstr>
  </property>
  <property fmtid="{D5CDD505-2E9C-101B-9397-08002B2CF9AE}" pid="26" name="lastDelim">
    <vt:lpwstr>, </vt:lpwstr>
  </property>
  <property fmtid="{D5CDD505-2E9C-101B-9397-08002B2CF9AE}" pid="27" name="linkReferences">
    <vt:lpwstr>False</vt:lpwstr>
  </property>
  <property fmtid="{D5CDD505-2E9C-101B-9397-08002B2CF9AE}" pid="28" name="linkcolor">
    <vt:lpwstr>blue</vt:lpwstr>
  </property>
  <property fmtid="{D5CDD505-2E9C-101B-9397-08002B2CF9AE}" pid="29" name="listingTemplate">
    <vt:lpwstr>listingTitle ititleDelim t</vt:lpwstr>
  </property>
  <property fmtid="{D5CDD505-2E9C-101B-9397-08002B2CF9AE}" pid="30" name="listingTitle">
    <vt:lpwstr>Listing</vt:lpwstr>
  </property>
  <property fmtid="{D5CDD505-2E9C-101B-9397-08002B2CF9AE}" pid="31" name="listings">
    <vt:lpwstr>False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nameInLink">
    <vt:lpwstr>False</vt:lpwstr>
  </property>
  <property fmtid="{D5CDD505-2E9C-101B-9397-08002B2CF9AE}" pid="39" name="numberSections">
    <vt:lpwstr>False</vt:lpwstr>
  </property>
  <property fmtid="{D5CDD505-2E9C-101B-9397-08002B2CF9AE}" pid="40" name="output">
    <vt:lpwstr/>
  </property>
  <property fmtid="{D5CDD505-2E9C-101B-9397-08002B2CF9AE}" pid="41" name="pairDelim">
    <vt:lpwstr>, </vt:lpwstr>
  </property>
  <property fmtid="{D5CDD505-2E9C-101B-9397-08002B2CF9AE}" pid="42" name="rangeDelim">
    <vt:lpwstr>-</vt:lpwstr>
  </property>
  <property fmtid="{D5CDD505-2E9C-101B-9397-08002B2CF9AE}" pid="43" name="refDelim">
    <vt:lpwstr>, </vt:lpwstr>
  </property>
  <property fmtid="{D5CDD505-2E9C-101B-9397-08002B2CF9AE}" pid="44" name="refIndexTemplate">
    <vt:lpwstr>isuf</vt:lpwstr>
  </property>
  <property fmtid="{D5CDD505-2E9C-101B-9397-08002B2CF9AE}" pid="45" name="secHeaderDelim">
    <vt:lpwstr> </vt:lpwstr>
  </property>
  <property fmtid="{D5CDD505-2E9C-101B-9397-08002B2CF9AE}" pid="46" name="secHeaderTemplate">
    <vt:lpwstr>isecHeaderDelim[n]t</vt:lpwstr>
  </property>
  <property fmtid="{D5CDD505-2E9C-101B-9397-08002B2CF9AE}" pid="47" name="secLabels">
    <vt:lpwstr>arabic</vt:lpwstr>
  </property>
  <property fmtid="{D5CDD505-2E9C-101B-9397-08002B2CF9AE}" pid="48" name="secPrefix">
    <vt:lpwstr/>
  </property>
  <property fmtid="{D5CDD505-2E9C-101B-9397-08002B2CF9AE}" pid="49" name="secPrefixTemplate">
    <vt:lpwstr>p i</vt:lpwstr>
  </property>
  <property fmtid="{D5CDD505-2E9C-101B-9397-08002B2CF9AE}" pid="50" name="sectionsDepth">
    <vt:lpwstr>0</vt:lpwstr>
  </property>
  <property fmtid="{D5CDD505-2E9C-101B-9397-08002B2CF9AE}" pid="51" name="shorttitle">
    <vt:lpwstr>Delayed effects of climate on vital rates</vt:lpwstr>
  </property>
  <property fmtid="{D5CDD505-2E9C-101B-9397-08002B2CF9AE}" pid="52" name="subfigGrid">
    <vt:lpwstr>False</vt:lpwstr>
  </property>
  <property fmtid="{D5CDD505-2E9C-101B-9397-08002B2CF9AE}" pid="53" name="subfigLabels">
    <vt:lpwstr>alpha a</vt:lpwstr>
  </property>
  <property fmtid="{D5CDD505-2E9C-101B-9397-08002B2CF9AE}" pid="54" name="subfigureChildTemplate">
    <vt:lpwstr>i</vt:lpwstr>
  </property>
  <property fmtid="{D5CDD505-2E9C-101B-9397-08002B2CF9AE}" pid="55" name="subfigureRefIndexTemplate">
    <vt:lpwstr>isuf (s)</vt:lpwstr>
  </property>
  <property fmtid="{D5CDD505-2E9C-101B-9397-08002B2CF9AE}" pid="56" name="subfigureTemplate">
    <vt:lpwstr>figureTitle ititleDelim t. ccs</vt:lpwstr>
  </property>
  <property fmtid="{D5CDD505-2E9C-101B-9397-08002B2CF9AE}" pid="57" name="tableEqns">
    <vt:lpwstr>False</vt:lpwstr>
  </property>
  <property fmtid="{D5CDD505-2E9C-101B-9397-08002B2CF9AE}" pid="58" name="tableTemplate">
    <vt:lpwstr>tableTitle ititleDelim t</vt:lpwstr>
  </property>
  <property fmtid="{D5CDD505-2E9C-101B-9397-08002B2CF9AE}" pid="59" name="tableTitle">
    <vt:lpwstr>Table</vt:lpwstr>
  </property>
  <property fmtid="{D5CDD505-2E9C-101B-9397-08002B2CF9AE}" pid="60" name="tblLabels">
    <vt:lpwstr>arabic</vt:lpwstr>
  </property>
  <property fmtid="{D5CDD505-2E9C-101B-9397-08002B2CF9AE}" pid="61" name="tblPrefix">
    <vt:lpwstr/>
  </property>
  <property fmtid="{D5CDD505-2E9C-101B-9397-08002B2CF9AE}" pid="62" name="tblPrefixTemplate">
    <vt:lpwstr>p i</vt:lpwstr>
  </property>
  <property fmtid="{D5CDD505-2E9C-101B-9397-08002B2CF9AE}" pid="63" name="titleDelim">
    <vt:lpwstr>:</vt:lpwstr>
  </property>
</Properties>
</file>