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7.png" ContentType="image/png"/>
  <Override PartName="/word/media/rId36.png" ContentType="image/png"/>
  <Override PartName="/word/media/rId35.png" ContentType="image/png"/>
  <Override PartName="/word/media/rId34.png" ContentType="image/png"/>
  <Override PartName="/word/media/rId22.png" ContentType="image/png"/>
  <Override PartName="/word/media/rId31.png" ContentType="image/png"/>
  <Override PartName="/word/media/rId3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12</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Cs/>
          <w:i/>
        </w:rPr>
        <w:t xml:space="preserve">Heliconia acuminata</w:t>
      </w:r>
      <w:r>
        <w:t xml:space="preserve">; drought; ENSO; edge effects</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 However, it is often assumed that that the dramatically altered environmental conditions often observed in fragments – e.g., increased air temperature, decreased relative humidity, reduced soil moisture, increased solar radiation</w:t>
      </w:r>
      <w:r>
        <w:t xml:space="preserve"> </w:t>
      </w:r>
      <w:r>
        <w:t xml:space="preserve">(Didham and Lawton 1999, Ewers and Banks-Leite 2013, Arroyo-Rodríguez et al. 2017)</w:t>
      </w:r>
      <w:r>
        <w:t xml:space="preserve"> </w:t>
      </w:r>
      <w:r>
        <w:t xml:space="preserve">–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 This is thought to be particularly true in species-rich tropical forests</w:t>
      </w:r>
      <w:r>
        <w:t xml:space="preserve"> </w:t>
      </w:r>
      <w:r>
        <w:t xml:space="preserve">(Didham and Lawton 1999, Laurance et al. 2001)</w:t>
      </w:r>
      <w:r>
        <w:t xml:space="preserve">, which continue to be cleared and fragmented at unprecedented rates. For example, over 24 million ha of the Brazilian Amazon have been cleared in the last two decades</w:t>
      </w:r>
      <w:r>
        <w:t xml:space="preserve"> </w:t>
      </w:r>
      <w:r>
        <w:rPr>
          <w:iCs/>
          <w:i/>
        </w:rPr>
        <w:t xml:space="preserve">(CITATION_4)</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population-level demographic responses with changes in environmental conditions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 which can have complex or even contrasting effects across the same tropical biome. For instance,</w:t>
      </w:r>
      <w:r>
        <w:t xml:space="preserve"> </w:t>
      </w:r>
      <w:r>
        <w:t xml:space="preserve"> </w:t>
      </w:r>
      <w:r>
        <w:t xml:space="preserve">climate models for the next 50-100 years predict that some parts of Amazonia will experience decreases in dry season precipitation</w:t>
      </w:r>
      <w:r>
        <w:t xml:space="preserve"> </w:t>
      </w:r>
      <w:r>
        <w:t xml:space="preserve">(Malhi et al. 2008)</w:t>
      </w:r>
      <w:r>
        <w:t xml:space="preserve"> </w:t>
      </w:r>
      <w:r>
        <w:t xml:space="preserve">and increases in the frequency and severity of droughts</w:t>
      </w:r>
      <w:r>
        <w:t xml:space="preserve"> </w:t>
      </w:r>
      <w:r>
        <w:t xml:space="preserve">(Zeng et al. 2008, Mora et al. 2013, Cai et al. 2014)</w:t>
      </w:r>
      <w:r>
        <w:t xml:space="preserve">. These changes could exacerbate the altered environmental conditions in fragments thought to make populations demographically vulnerable - particularly for plants, which are unable to move in response to changes in local conditions. In contrast, other parts of the basin are predicted to see an increase in the frequency and severity of extreme precipitation events, which can also have detrimental consequences for plant survival and reproduction</w:t>
      </w:r>
      <w:r>
        <w:t xml:space="preserve"> </w:t>
      </w:r>
      <w:r>
        <w:t xml:space="preserve">(Esteban et al. 2021)</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Salguero-Gomez et al. 2015)</w:t>
      </w:r>
      <w:r>
        <w:t xml:space="preserve">. These data are critical not simply because they allow for capturing variation in climatic conditions and the resulting demographic responses</w:t>
      </w:r>
      <w:r>
        <w:t xml:space="preserve"> </w:t>
      </w:r>
      <w:r>
        <w:t xml:space="preserve">(Morris and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 Nevertheless, the impacts of global change phenomena on their demography remain conspicuously understudied [</w:t>
      </w:r>
      <w:r>
        <w:rPr>
          <w:iCs/>
          <w:i/>
          <w:bCs/>
          <w:b/>
        </w:rPr>
        <w:t xml:space="preserve">(CITATION Bruna, Gaoue)</w:t>
      </w:r>
      <w:r>
        <w:t xml:space="preserve">] 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w:t>
      </w:r>
      <w:r>
        <w:br/>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vital rates,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1"/>
    <w:bookmarkStart w:id="28"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in disturbed areas or treefall gaps, others—such as</w:t>
      </w:r>
      <w:r>
        <w:t xml:space="preserve"> </w:t>
      </w:r>
      <w:r>
        <w:rPr>
          <w:iCs/>
          <w:i/>
        </w:rPr>
        <w:t xml:space="preserve">H. acuminata</w:t>
      </w:r>
      <w:r>
        <w:t xml:space="preserve">—are found at lower densities in the darker and cooler forest understory. These species produce fewer infloresences and are pollinated by traplining rather than territorial hummingbirds</w:t>
      </w:r>
      <w:r>
        <w:t xml:space="preserve"> </w:t>
      </w:r>
      <w:r>
        <w:t xml:space="preserve">(Berry and Kress 1991)</w:t>
      </w:r>
      <w:r>
        <w:t xml:space="preserve">. 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rare</w:t>
      </w:r>
      <w:r>
        <w:t xml:space="preserve"> </w:t>
      </w:r>
      <w:r>
        <w:rPr>
          <w:iCs/>
          <w:i/>
        </w:rPr>
        <w:t xml:space="preserve">[unpubl. data]</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oMath>
      <w:r>
        <w:t xml:space="preserve"> </w:t>
      </w:r>
      <w:r>
        <w:t xml:space="preserve">= 1.1 flowering shoots (range = 1-7), each of which has an inflorescence with 20–25 flowers</w:t>
      </w:r>
      <w:r>
        <w:t xml:space="preserve"> </w:t>
      </w:r>
      <w:r>
        <w:t xml:space="preserve">(Bruna and Kress 2002)</w:t>
      </w:r>
      <w:r>
        <w:t xml:space="preserve">. 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4"/>
    <w:bookmarkStart w:id="25"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There is a seven-fold range in</w:t>
      </w:r>
      <w:r>
        <w:t xml:space="preserve"> </w:t>
      </w:r>
      <w:r>
        <w:rPr>
          <w:iCs/>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and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 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Cs/>
          <w:b/>
        </w:rPr>
        <w:t xml:space="preserve">Supplemental __</w:t>
      </w:r>
      <w:r>
        <w:t xml:space="preserve">).</w:t>
      </w:r>
      <w:r>
        <w:t xml:space="preserve"> </w:t>
      </w:r>
    </w:p>
    <w:bookmarkEnd w:id="26"/>
    <w:bookmarkStart w:id="27"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 DLNMs capture how potentially delayed effects of predictor variables (e.g. SPEI) affect an outcome (e.g. growth) well beyond the event period.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Using the</w:t>
      </w:r>
      <w:r>
        <w:t xml:space="preserve"> </w:t>
      </w:r>
      <w:r>
        <w:rPr>
          <w:iCs/>
          <w:i/>
        </w:rPr>
        <w:t xml:space="preserve">dlnm</w:t>
      </w:r>
      <w:r>
        <w:t xml:space="preserve"> </w:t>
      </w:r>
      <w:r>
        <w:t xml:space="preserve">package</w:t>
      </w:r>
      <w:r>
        <w:t xml:space="preserve"> </w:t>
      </w:r>
      <w:r>
        <w:t xml:space="preserve">(Gasparrini 2011, R Core Team 2020)</w:t>
      </w:r>
      <w:r>
        <w:t xml:space="preserve">, we created crossbasis functions with possible lags from 0–36 months. We chose 36 months as a maximum lag because prior transplant experiments with</w:t>
      </w:r>
      <w:r>
        <w:t xml:space="preserve"> </w:t>
      </w:r>
      <w:r>
        <w:rPr>
          <w:iCs/>
          <w:i/>
        </w:rPr>
        <w:t xml:space="preserve">H. acuminata</w:t>
      </w:r>
      <w:r>
        <w:t xml:space="preserve"> </w:t>
      </w:r>
      <w:r>
        <w:t xml:space="preserve">showed they typically recovered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iCs/>
          <w:i/>
        </w:rPr>
        <w:t xml:space="preserve">mgcv</w:t>
      </w:r>
      <w:r>
        <w:t xml:space="preserve"> </w:t>
      </w:r>
      <w:r>
        <w:t xml:space="preserve">package</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x</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oMath>
      </m:oMathPara>
    </w:p>
    <w:p>
      <w:pPr>
        <w:pStyle w:val="FirstParagraph"/>
      </w:pPr>
      <w:r>
        <w:t xml:space="preserve">where</w:t>
      </w:r>
      <w:r>
        <w:t xml:space="preserve"> </w:t>
      </w:r>
      <m:oMath>
        <m:sSub>
          <m:e>
            <m:r>
              <m:t>s</m:t>
            </m:r>
          </m:e>
          <m:sub>
            <m:r>
              <m:t>1</m:t>
            </m:r>
          </m:sub>
        </m:sSub>
        <m:d>
          <m:dPr>
            <m:begChr m:val="("/>
            <m:endChr m:val=")"/>
            <m:grow/>
          </m:dPr>
          <m:e>
            <m:sSub>
              <m:e>
                <m:r>
                  <m:t>x</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oMath>
      </m:oMathPara>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 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 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A scaled t family was chosen because residuals were leptokurtic with a Gaussian error structure.</w:t>
      </w:r>
      <w:r>
        <w:t xml:space="preserve"> </w:t>
      </w:r>
      <w:r>
        <w:t xml:space="preserve">For reproduction in year t our response variable was whether or not a plant had any inflorescences (i.e., 1 for ≥1 inflorescence, 0 for no inflorescences).</w:t>
      </w:r>
      <w:r>
        <w:t xml:space="preserve"> </w:t>
      </w:r>
      <w:r>
        <w:t xml:space="preserve">We modeled both reproduction and survival (i.e., from year t to year t+1) using a binomial family error distribution with a logit link function .</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cannot ______________.</w:t>
      </w:r>
      <w:r>
        <w:t xml:space="preserve"> </w:t>
      </w:r>
      <w:r>
        <w:t xml:space="preserve">We therefore fit separate models for plants in fragments and in continuous forest to allow the shape of the crossbasis function to differ between habitats.</w:t>
      </w:r>
    </w:p>
    <w:bookmarkEnd w:id="27"/>
    <w:bookmarkEnd w:id="28"/>
    <w:bookmarkStart w:id="39"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p>
      <w:pPr>
        <w:pStyle w:val="BodyText"/>
      </w:pPr>
      <w:r>
        <w:rPr>
          <w:bCs/>
          <w:b/>
        </w:rPr>
        <w:t xml:space="preserve">THIS NEEDS TO BE BETTER LINKED TO THE INFO ABOVE:</w:t>
      </w:r>
      <w:r>
        <w:t xml:space="preserve"> </w:t>
      </w: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0" w:name="X0298649a63b4ec17841dba9b766e96494c4e63b"/>
    <w:p>
      <w:pPr>
        <w:pStyle w:val="Heading2"/>
      </w:pPr>
      <w:r>
        <w:t xml:space="preserve">Survival, growth, and flowering in continuous forest vs. fragments</w:t>
      </w:r>
    </w:p>
    <w:p>
      <w:pPr>
        <w:pStyle w:val="FirstParagraph"/>
      </w:pPr>
      <w:r>
        <w:rPr>
          <w:bCs/>
          <w:b/>
        </w:rPr>
        <w:t xml:space="preserve">Our dataset comprised XXXX plants in continuous forest and XXXX plants in forest fragments, with an plots in CF having on average X-fold more plants than plots in 1-ha fragments (mean per plot + SD in each) .</w:t>
      </w:r>
      <w:r>
        <w:t xml:space="preserve"> </w:t>
      </w:r>
      <w:r>
        <w:t xml:space="preserve">When summarizing across years and plots,</w:t>
      </w:r>
      <w:r>
        <w:t xml:space="preserve"> </w:t>
      </w:r>
      <w:r>
        <w:rPr>
          <w:iCs/>
          <w:i/>
        </w:rPr>
        <w:t xml:space="preserve">Heliconia acuminata</w:t>
      </w:r>
      <w:r>
        <w:t xml:space="preserve"> </w:t>
      </w:r>
      <w:r>
        <w:t xml:space="preserve">individuals had similarly high survival rates in both CF and 1-ha (0.95).</w:t>
      </w:r>
      <w:r>
        <w:t xml:space="preserve"> </w:t>
      </w:r>
      <w:r>
        <w:t xml:space="preserve">The proportion of surviving plants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for the 2005-2006 transition year, which corresponded to wetter than average conditions (SPEI &gt; 0.5) but with a moderate drought the preceding October.</w:t>
      </w:r>
      <w:r>
        <w:t xml:space="preserve"> </w:t>
      </w:r>
      <w:r>
        <w:t xml:space="preserve">(october 2005?).</w:t>
      </w:r>
      <w:r>
        <w:t xml:space="preserve"> </w:t>
      </w:r>
      <w:r>
        <w:t xml:space="preserve">Survival was size dependent in both continuous forest and 1-ha fragments (p &lt; 0.001 for the log-transformed effect of plant size in year t on suvival in year t+1).</w:t>
      </w:r>
      <w:r>
        <w:t xml:space="preserve"> </w:t>
      </w:r>
      <w:r>
        <w:t xml:space="preserve">While the survival probability of large plants approached 1 in both habitat types (Figure</w:t>
      </w:r>
      <w:r>
        <w:t xml:space="preserve"> </w:t>
      </w:r>
      <w:r>
        <w:t xml:space="preserve">3</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were in continuous forest were larger on average than those in 1-ha fragments.</w:t>
      </w:r>
      <w:r>
        <w:t xml:space="preserve"> </w:t>
      </w:r>
      <w:r>
        <w:t xml:space="preserve"> </w:t>
      </w:r>
      <w:r>
        <w:t xml:space="preserve">Plants in continuous forest had an average of 2.9 shoots (± 1.8 SD) and were on average 40.6 cm tall (± 26.5 SD).</w:t>
      </w:r>
      <w:r>
        <w:t xml:space="preserve"> </w:t>
      </w:r>
      <w:r>
        <w:t xml:space="preserve">Plants in 1-ha fragments had on average</w:t>
      </w:r>
      <w:r>
        <w:t xml:space="preserve"> </w:t>
      </w:r>
      <w:r>
        <w:rPr>
          <w:bCs/>
          <w:b/>
        </w:rPr>
        <w:t xml:space="preserve">~XX% fewer</w:t>
      </w:r>
      <w:r>
        <w:t xml:space="preserve"> </w:t>
      </w:r>
      <w:r>
        <w:t xml:space="preserve">shoots (2.5 ± 1.5 SD) and</w:t>
      </w:r>
      <w:r>
        <w:t xml:space="preserve"> </w:t>
      </w:r>
      <w:r>
        <w:rPr>
          <w:bCs/>
          <w:b/>
        </w:rPr>
        <w:t xml:space="preserve">were XX% shorter</w:t>
      </w:r>
      <w:r>
        <w:t xml:space="preserve"> </w:t>
      </w:r>
      <w:r>
        <w:t xml:space="preserve">(36.2 cm ± 24.1 SD).</w:t>
      </w:r>
      <w:r>
        <w:t xml:space="preserve"> </w:t>
      </w:r>
      <w:r>
        <w:t xml:space="preserve">Because the proxy for plant size used in our models was the product of these two metrics, plants in fragments were significantly larger than those in forest fragments (150 ± 175 SD vs. 112 ± 141 SD, respectively).</w:t>
      </w:r>
      <w:r>
        <w:t xml:space="preserve"> </w:t>
      </w:r>
      <w:r>
        <w:t xml:space="preserve">This disparity in plant size was most notable in the initial years of our surveys and then diminished over time (Figure</w:t>
      </w:r>
      <w:r>
        <w:t xml:space="preserve"> </w:t>
      </w:r>
      <w:r>
        <w:t xml:space="preserve">2</w:t>
      </w:r>
      <w:r>
        <w:t xml:space="preserve">a).</w:t>
      </w:r>
      <w:r>
        <w:t xml:space="preserve"> </w:t>
      </w:r>
      <w:r>
        <w:t xml:space="preserve">As with survival, size in year t was a significant predictor of size in year t+1 (p &lt; 0.001).</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b).</w:t>
      </w:r>
    </w:p>
    <w:p>
      <w:pPr>
        <w:pStyle w:val="BodyText"/>
      </w:pPr>
      <w:r>
        <w:t xml:space="preserve">While the overall proportion of plants flowering was very low, it was nevertheless almost 40% higher in continuous forest than 1-ha fragments (0.050 ± 0.021 vs. 0.036 ± 0.027, respectively).</w:t>
      </w:r>
      <w:r>
        <w:t xml:space="preserve"> </w:t>
      </w:r>
      <w:r>
        <w:t xml:space="preserve">This was true in all survey years except 2006 and 2008 (Figure</w:t>
      </w:r>
      <w:r>
        <w:t xml:space="preserve"> </w:t>
      </w:r>
      <w:r>
        <w:t xml:space="preserve">2</w:t>
      </w:r>
      <w:r>
        <w:t xml:space="preserve">c).</w:t>
      </w:r>
      <w:r>
        <w:t xml:space="preserve"> </w:t>
      </w:r>
      <w:r>
        <w:t xml:space="preserve">This disparity was largely due to the fact that flowering is size-dependent (p &lt; 0.001), with the probability of flowering increasing dramatically once plants reached the threshold value of log 5____ (Figure</w:t>
      </w:r>
      <w:r>
        <w:t xml:space="preserve"> </w:t>
      </w:r>
      <w:r>
        <w:t xml:space="preserve">3</w:t>
      </w:r>
      <w:r>
        <w:t xml:space="preserve">c).</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plants with four or more shoots was 24.1% in continuous forest vs. only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bookmarkEnd w:id="30"/>
    <w:bookmarkStart w:id="38" w:name="X6dd1d867d94c602f9192bc61b904a4ff4b78b2f"/>
    <w:p>
      <w:pPr>
        <w:pStyle w:val="Heading2"/>
      </w:pPr>
      <w:r>
        <w:t xml:space="preserve">Delayed effects of drought on demographic vital rates</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5"/>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7"/>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growth in 1-ha fragments (p = 0.257), the delayed effects of SPEI on all three vital rates varied significantly between plots (p &lt; 0.001 for the random effect of plot).</w:t>
      </w:r>
    </w:p>
    <w:bookmarkEnd w:id="38"/>
    <w:bookmarkEnd w:id="39"/>
    <w:bookmarkStart w:id="43" w:name="discussion"/>
    <w:p>
      <w:pPr>
        <w:pStyle w:val="Heading1"/>
      </w:pPr>
      <w:r>
        <w:t xml:space="preserve">Discussion</w:t>
      </w:r>
    </w:p>
    <w:bookmarkStart w:id="41" w:name="vocab"/>
    <w:p>
      <w:pPr>
        <w:pStyle w:val="Heading4"/>
      </w:pPr>
      <w:r>
        <w:t xml:space="preserve">Vocab</w:t>
      </w:r>
    </w:p>
    <w:p>
      <w:pPr>
        <w:pStyle w:val="FirstParagraph"/>
      </w:pPr>
      <w:r>
        <w:t xml:space="preserve">This seems tacked on here and perhaps better in the discussion: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&lt; !–</w:t>
      </w:r>
      <w:r>
        <w:t xml:space="preserve"> </w:t>
      </w:r>
      <w:r>
        <w:t xml:space="preserve"># Gaoue = ?</w:t>
      </w:r>
      <w:r>
        <w:t xml:space="preserve"> </w:t>
      </w:r>
      <w:r>
        <w:t xml:space="preserve">Orou G. Gaoue, Carol C. Horvitz, Ulrich K. Steiner, Shripad Tuljapurkar, Climate, rather than human disturbance, is the main driver of age-specific mortality trajectories in a tropical tree, Ecological Modelling, Volume 400, 2019, Pages 34-40,</w:t>
      </w:r>
      <w:hyperlink r:id="rId40">
        <w:r>
          <w:rPr>
            <w:rStyle w:val="Hyperlink"/>
          </w:rPr>
          <w:t xml:space="preserve">https://doi.org/10.1016/j.ecolmodel.2019.03.007</w:t>
        </w:r>
      </w:hyperlink>
      <w:r>
        <w:t xml:space="preserve">.</w:t>
      </w:r>
      <w:r>
        <w:t xml:space="preserve"> </w:t>
      </w:r>
      <w:r>
        <w:t xml:space="preserve">– &gt;</w:t>
      </w:r>
    </w:p>
    <w:p>
      <w:pPr>
        <w:pStyle w:val="BodyText"/>
      </w:pPr>
      <w:r>
        <w:t xml:space="preserve">Delayed effects, time lag, the lag…avoid lagged effects</w:t>
      </w:r>
    </w:p>
    <w:bookmarkEnd w:id="41"/>
    <w:bookmarkStart w:id="42"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Cs/>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Cs/>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w:t>
      </w:r>
      <w:r>
        <w:t xml:space="preserve"> </w:t>
      </w:r>
      <w:r>
        <w:t xml:space="preserve">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Cs/>
          <w:i/>
        </w:rPr>
        <w:t xml:space="preserve">Heliconia</w:t>
      </w:r>
      <w:r>
        <w:t xml:space="preserve"> </w:t>
      </w:r>
      <w:r>
        <w:t xml:space="preserve">times reproduction so seeds only germinate at start of rainy season.</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refs in</w:t>
      </w:r>
      <w:r>
        <w:t xml:space="preserve"> </w:t>
      </w:r>
      <w:r>
        <w:t xml:space="preserve">Leitold et al. (2018)</w:t>
      </w:r>
      <w:r>
        <w:t xml:space="preserve"> </w:t>
      </w:r>
      <w:r>
        <w:t xml:space="preserve">peak in tree mortality can happen up to 3 years after drought event in experimental studies.</w:t>
      </w:r>
      <w:r>
        <w:t xml:space="preserve"> </w:t>
      </w:r>
      <w:r>
        <w:t xml:space="preserve">Observational studies show mortality happening in same year as 2007 and 2010 droughts.</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Cs/>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 We found evidence for delayed effects of drought which are sometimes stronger predictors of vital rates than more recent conditions. 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Cs/>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 Flowering probability for the largest plants is actually higher in forest fragments; however, because there are fewer large plants in fragments overall flowering probability is much lower. The average fitted probability of flowering for plants in the upper quartile for size is 0.125 in continuous forest and 0.094 in forest fragments, equivalent to flowering once every 7.97 years and 10.63 years, respectively. 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 It is possible that increases in temperature, evaporative drying, wind speed, and solar radiation commonly found near forest edges exacerbated the effects of extremes in SPEI on</w:t>
      </w:r>
      <w:r>
        <w:t xml:space="preserve"> </w:t>
      </w:r>
      <w:r>
        <w:rPr>
          <w:iCs/>
          <w:i/>
        </w:rPr>
        <w:t xml:space="preserve">H. acuminata</w:t>
      </w:r>
      <w:r>
        <w:t xml:space="preserve"> </w:t>
      </w:r>
      <w:r>
        <w:t xml:space="preserve">growth and survival in fragments compared to continuous forest. It is also possible that the microclimate experienced by plants in continuous forest plots was simply more stable compared to that of 1 ha fragments. Bruna et al.</w:t>
      </w:r>
      <w:r>
        <w:t xml:space="preserve"> </w:t>
      </w:r>
      <w:r>
        <w:t xml:space="preserve">(2002)</w:t>
      </w:r>
      <w:r>
        <w:t xml:space="preserve"> </w:t>
      </w:r>
      <w:r>
        <w:t xml:space="preserve">found that the growth of transplanted</w:t>
      </w:r>
      <w:r>
        <w:t xml:space="preserve"> </w:t>
      </w:r>
      <w:r>
        <w:rPr>
          <w:iCs/>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Cs/>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Cs/>
          <w:i/>
        </w:rPr>
        <w:t xml:space="preserve">H. acuminata</w:t>
      </w:r>
      <w:r>
        <w:t xml:space="preserve">, the initiation of a primordial flowering shoot</w:t>
      </w:r>
      <w:r>
        <w:t xml:space="preserve"> </w:t>
      </w:r>
      <w:r>
        <w:t xml:space="preserve"> </w:t>
      </w:r>
      <w:r>
        <w:t xml:space="preserve">likely happens many months earlier. 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Cs/>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to the understory (</w:t>
      </w:r>
      <w:r>
        <w:t xml:space="preserve">).</w:t>
      </w:r>
      <w:r>
        <w:t xml:space="preserve"> </w:t>
      </w:r>
      <w:r>
        <w:t xml:space="preserve">This increase in light could then result in increased growth or flowering for understory plants (</w:t>
      </w:r>
      <w:r>
        <w:t xml:space="preserve"> </w:t>
      </w:r>
      <w:r>
        <w:t xml:space="preserve">).</w:t>
      </w:r>
      <w:r>
        <w:t xml:space="preserve"> </w:t>
      </w:r>
      <w:r>
        <w:t xml:space="preserve"> </w:t>
      </w:r>
      <w:r>
        <w:t xml:space="preserve">Janssen et al.</w:t>
      </w:r>
      <w:r>
        <w:t xml:space="preserve"> </w:t>
      </w:r>
      <w:r>
        <w:t xml:space="preserve">(Janssen et al. 2021)</w:t>
      </w:r>
      <w:r>
        <w:t xml:space="preserve"> </w:t>
      </w:r>
      <w:r>
        <w:t xml:space="preserve">showed that increase in litterfall due to drought was delayed.</w:t>
      </w:r>
      <w:r>
        <w:t xml:space="preserve"> </w:t>
      </w:r>
      <w:r>
        <w:t xml:space="preserve">Here, the delayed effect of drought on</w:t>
      </w:r>
      <w:r>
        <w:t xml:space="preserve"> </w:t>
      </w:r>
      <w:r>
        <w:rPr>
          <w:iCs/>
          <w:i/>
        </w:rPr>
        <w:t xml:space="preserve">H. acuminata</w:t>
      </w:r>
      <w:r>
        <w:t xml:space="preserve"> </w:t>
      </w:r>
      <w:r>
        <w:t xml:space="preserve">could be partly explained by a delay of the response of canopy trees to drought and the response of</w:t>
      </w:r>
      <w:r>
        <w:t xml:space="preserve"> </w:t>
      </w:r>
      <w:r>
        <w:rPr>
          <w:iCs/>
          <w:i/>
        </w:rPr>
        <w:t xml:space="preserve">H. acuminata</w:t>
      </w:r>
      <w:r>
        <w:t xml:space="preserve"> </w:t>
      </w:r>
      <w:r>
        <w:t xml:space="preserve">to increased insolation.</w:t>
      </w:r>
      <w:r>
        <w:t xml:space="preserve"> </w:t>
      </w:r>
      <w:r>
        <w:t xml:space="preserve">Furthermore, literfall in response to drought has shown to be greater at forest edges compared to interiors, which could explain the increased delayed effects of SPEI on survival and growth in forest fragments.</w:t>
      </w:r>
      <w:r>
        <w:t xml:space="preserve"> </w:t>
      </w:r>
      <w:r>
        <w:t xml:space="preserve">Drought is also associated with increased insolation, so negative SPEI could also be a proxy for increased insolation, which would be exacerbated at forest edges potentially.</w:t>
      </w:r>
    </w:p>
    <w:p>
      <w:pPr>
        <w:numPr>
          <w:ilvl w:val="0"/>
          <w:numId w:val="1004"/>
        </w:numPr>
      </w:pPr>
      <w:r>
        <w:t xml:space="preserve">(Janssen et al. 2021)</w:t>
      </w:r>
      <w:r>
        <w:t xml:space="preserve"> </w:t>
      </w:r>
      <w:r>
        <w:t xml:space="preserve">Used machine learning to combine remote sensing and ground surveys of literfall from published datasets.</w:t>
      </w:r>
      <w:r>
        <w:t xml:space="preserve"> </w:t>
      </w:r>
      <w:r>
        <w:t xml:space="preserve">Estimates green-up, literfall, growth, etc. for central and southern america including the Amazon.</w:t>
      </w:r>
      <w:r>
        <w:t xml:space="preserve"> </w:t>
      </w:r>
      <w:r>
        <w:t xml:space="preserve">Drought results in anomolously high leaf flushing at start of drought followed by increased litterfall durring the drought.</w:t>
      </w:r>
      <w:r>
        <w:t xml:space="preserve"> </w:t>
      </w:r>
      <w:r>
        <w:t xml:space="preserve">Dry season droughts result in green-up, but not wet season droughts.</w:t>
      </w:r>
      <w:r>
        <w:t xml:space="preserve"> </w:t>
      </w:r>
      <w:r>
        <w:t xml:space="preserve">During drought, old leaves are shed and new leaves are maintained.</w:t>
      </w:r>
      <w:r>
        <w:t xml:space="preserve"> </w:t>
      </w:r>
      <w:r>
        <w:t xml:space="preserve">2-5 months for newly flushed leaves to fully expand.</w:t>
      </w:r>
    </w:p>
    <w:p>
      <w:pPr>
        <w:numPr>
          <w:ilvl w:val="0"/>
          <w:numId w:val="1004"/>
        </w:numPr>
      </w:pPr>
      <w:r>
        <w:t xml:space="preserve">Ecological Consequences of these patterns: an eye towards a drier/wetter future</w:t>
      </w:r>
    </w:p>
    <w:bookmarkEnd w:id="42"/>
    <w:bookmarkEnd w:id="43"/>
    <w:bookmarkStart w:id="44"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Cs/>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Loop back to: need whole-life-cycle approach to ID these effects, why fragmentologists don’t do this is killing Emilio.</w:t>
      </w:r>
    </w:p>
    <w:bookmarkEnd w:id="44"/>
    <w:bookmarkStart w:id="4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5"/>
    <w:bookmarkStart w:id="138" w:name="references"/>
    <w:p>
      <w:pPr>
        <w:pStyle w:val="Heading1"/>
      </w:pPr>
      <w:r>
        <w:t xml:space="preserve">References</w:t>
      </w:r>
    </w:p>
    <w:bookmarkStart w:id="136" w:name="refs"/>
    <w:bookmarkStart w:id="46"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6"/>
    <w:bookmarkStart w:id="47"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7"/>
    <w:bookmarkStart w:id="48" w:name="X78417189284be4dc2281db1812eb668eb8707d8"/>
    <w:p>
      <w:pPr>
        <w:pStyle w:val="Bibliography"/>
      </w:pPr>
      <w:r>
        <w:t xml:space="preserve">Barton, K. E., and A. B. Shiels. 2020. Additive and non-additive responses of seedlings to simulated herbivory and drought. Biotropica 52:1217–1228.</w:t>
      </w:r>
    </w:p>
    <w:bookmarkEnd w:id="48"/>
    <w:bookmarkStart w:id="49"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9"/>
    <w:bookmarkStart w:id="50"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50"/>
    <w:bookmarkStart w:id="51" w:name="X6e4eefdb54e2434cbc0c41928fca2210869b58d"/>
    <w:p>
      <w:pPr>
        <w:pStyle w:val="Bibliography"/>
      </w:pPr>
      <w:r>
        <w:t xml:space="preserve">Berry, F., and W. J. Kress. 1991.</w:t>
      </w:r>
      <w:r>
        <w:t xml:space="preserve"> </w:t>
      </w:r>
      <w:r>
        <w:rPr>
          <w:iCs/>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51"/>
    <w:bookmarkStart w:id="52"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2"/>
    <w:bookmarkStart w:id="53"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3"/>
    <w:bookmarkStart w:id="54"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4"/>
    <w:bookmarkStart w:id="55"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5"/>
    <w:bookmarkStart w:id="56"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6"/>
    <w:bookmarkStart w:id="57" w:name="ref-brunaSeedGerminationRainforest1999"/>
    <w:p>
      <w:pPr>
        <w:pStyle w:val="Bibliography"/>
      </w:pPr>
      <w:r>
        <w:t xml:space="preserve">Bruna, E. M. 1999. Seed germination in rainforest fragments. Nature 402:139.</w:t>
      </w:r>
    </w:p>
    <w:bookmarkEnd w:id="57"/>
    <w:bookmarkStart w:id="58"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 Oecologia 132:235–243.</w:t>
      </w:r>
    </w:p>
    <w:bookmarkEnd w:id="58"/>
    <w:bookmarkStart w:id="59"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9"/>
    <w:bookmarkStart w:id="60"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 Conservation Biology 16:1256–1266.</w:t>
      </w:r>
    </w:p>
    <w:bookmarkEnd w:id="60"/>
    <w:bookmarkStart w:id="61" w:name="X11841c3d6dcef81abc5bd4b879b01b5a9b04cf7"/>
    <w:p>
      <w:pPr>
        <w:pStyle w:val="Bibliography"/>
      </w:pPr>
      <w:r>
        <w:t xml:space="preserve">Bruna, E. M., W. J. Kress, F. Marques, and O. F. da Silva. 2004.</w:t>
      </w:r>
      <w:r>
        <w:t xml:space="preserve"> </w:t>
      </w:r>
      <w:r>
        <w:rPr>
          <w:iCs/>
          <w:i/>
        </w:rPr>
        <w:t xml:space="preserve">Heliconia Acuminata</w:t>
      </w:r>
      <w:r>
        <w:t xml:space="preserve"> </w:t>
      </w:r>
      <w:r>
        <w:t xml:space="preserve">reproductive success is independent of local floral density. Acta Amazonica 34:467–471.</w:t>
      </w:r>
    </w:p>
    <w:bookmarkEnd w:id="61"/>
    <w:bookmarkStart w:id="62"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4"/>
    <w:bookmarkStart w:id="65"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 Molecular Ecology 22:5716–5729.</w:t>
      </w:r>
    </w:p>
    <w:bookmarkEnd w:id="65"/>
    <w:bookmarkStart w:id="66" w:name="ref-crileyYearProductionHigh1994"/>
    <w:p>
      <w:pPr>
        <w:pStyle w:val="Bibliography"/>
      </w:pPr>
      <w:r>
        <w:t xml:space="preserve">Criley, R., and S. Lekawatana. 1994. Year around production with high yields may be a possibility for</w:t>
      </w:r>
      <w:r>
        <w:t xml:space="preserve"> </w:t>
      </w:r>
      <w:r>
        <w:rPr>
          <w:iCs/>
          <w:i/>
        </w:rPr>
        <w:t xml:space="preserve">Heliconia</w:t>
      </w:r>
      <w:r>
        <w:t xml:space="preserve"> </w:t>
      </w:r>
      <w:r>
        <w:rPr>
          <w:iCs/>
          <w:i/>
        </w:rPr>
        <w:t xml:space="preserve">Chartacea</w:t>
      </w:r>
      <w:r>
        <w:t xml:space="preserve">. Acta Horticulturae 397:95–102.</w:t>
      </w:r>
    </w:p>
    <w:bookmarkEnd w:id="66"/>
    <w:bookmarkStart w:id="6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7"/>
    <w:bookmarkStart w:id="68" w:name="X48139e4cc1dc94a4ee4ffab594766423fb00579"/>
    <w:p>
      <w:pPr>
        <w:pStyle w:val="Bibliography"/>
      </w:pPr>
      <w:r>
        <w:t xml:space="preserve">Didham, R. K., V. Kapos, and R. M. Ewers. 2012. Rethinking the conceptual foundations of habitat fragmentation research. Oikos 121:161–170.</w:t>
      </w:r>
    </w:p>
    <w:bookmarkEnd w:id="68"/>
    <w:bookmarkStart w:id="69"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69"/>
    <w:bookmarkStart w:id="70"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Cs/>
          <w:i/>
        </w:rPr>
        <w:t xml:space="preserve">Heliconia tortuosa</w:t>
      </w:r>
      <w:r>
        <w:t xml:space="preserve">. PhD thesis, Oregon State University.</w:t>
      </w:r>
    </w:p>
    <w:bookmarkEnd w:id="70"/>
    <w:bookmarkStart w:id="71"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1"/>
    <w:bookmarkStart w:id="72"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72"/>
    <w:bookmarkStart w:id="73" w:name="ref-estebanOtherSideDroughts2021"/>
    <w:p>
      <w:pPr>
        <w:pStyle w:val="Bibliography"/>
      </w:pPr>
      <w:r>
        <w:t xml:space="preserve">Esteban, E. J. L., C. V. Castilho, K. L. Melgaço, and F. R. C. Costa. 2021. The other side of droughts: Wet extremes and topography as buffers of negative drought effects in an</w:t>
      </w:r>
      <w:r>
        <w:t xml:space="preserve"> </w:t>
      </w:r>
      <w:r>
        <w:t xml:space="preserve">Amazonian</w:t>
      </w:r>
      <w:r>
        <w:t xml:space="preserve"> </w:t>
      </w:r>
      <w:r>
        <w:t xml:space="preserve">forest. New Phytologist 229:1995–2006.</w:t>
      </w:r>
    </w:p>
    <w:bookmarkEnd w:id="73"/>
    <w:bookmarkStart w:id="74"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4"/>
    <w:bookmarkStart w:id="75" w:name="X2c0574c19ecb88ad79c97e711ad3aa776095451"/>
    <w:p>
      <w:pPr>
        <w:pStyle w:val="Bibliography"/>
      </w:pPr>
      <w:r>
        <w:t xml:space="preserve">Ewers, R. M., and C. Banks-Leite. 2013. Fragmentation impairs the microclimate buffering effect of tropical forests. PLoS ONE 8:e58093.</w:t>
      </w:r>
    </w:p>
    <w:bookmarkEnd w:id="75"/>
    <w:bookmarkStart w:id="76"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6"/>
    <w:bookmarkStart w:id="77" w:name="ref-gasparriniDistributedLagLinear2011"/>
    <w:p>
      <w:pPr>
        <w:pStyle w:val="Bibliography"/>
      </w:pPr>
      <w:r>
        <w:t xml:space="preserve">Gasparrini, A. 2011. Distributed lag linear and non-linear models in</w:t>
      </w:r>
      <w:r>
        <w:t xml:space="preserve"> </w:t>
      </w:r>
      <w:r>
        <w:rPr>
          <w:iCs/>
          <w:i/>
        </w:rPr>
        <w:t xml:space="preserve">r</w:t>
      </w:r>
      <w:r>
        <w:t xml:space="preserve"> </w:t>
      </w:r>
      <w:r>
        <w:t xml:space="preserve">:</w:t>
      </w:r>
      <w:r>
        <w:t xml:space="preserve"> </w:t>
      </w:r>
      <w:r>
        <w:t xml:space="preserve">The</w:t>
      </w:r>
      <w:r>
        <w:t xml:space="preserve"> </w:t>
      </w:r>
      <w:r>
        <w:t xml:space="preserve">package</w:t>
      </w:r>
      <w:r>
        <w:t xml:space="preserve"> </w:t>
      </w:r>
      <w:r>
        <w:rPr>
          <w:bCs/>
          <w:b/>
        </w:rPr>
        <w:t xml:space="preserve">Dlnm</w:t>
      </w:r>
      <w:r>
        <w:t xml:space="preserve">. Journal of Statistical Software 43.</w:t>
      </w:r>
    </w:p>
    <w:bookmarkEnd w:id="77"/>
    <w:bookmarkStart w:id="78"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78"/>
    <w:bookmarkStart w:id="79" w:name="X9bc2a26956cae18881b5fa2ea3af9548e950f86"/>
    <w:p>
      <w:pPr>
        <w:pStyle w:val="Bibliography"/>
      </w:pPr>
      <w:r>
        <w:t xml:space="preserve">Gentry, A. H., and C. Dodson. 1987. Contribution of nontrees to species richness of a tropical rain forest. Biotropica 19:149–156.</w:t>
      </w:r>
    </w:p>
    <w:bookmarkEnd w:id="79"/>
    <w:bookmarkStart w:id="80"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80"/>
    <w:bookmarkStart w:id="81"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1"/>
    <w:bookmarkStart w:id="82"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 Plant, Cell &amp; Environment 19:1238–1248.</w:t>
      </w:r>
    </w:p>
    <w:bookmarkEnd w:id="82"/>
    <w:bookmarkStart w:id="83"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83"/>
    <w:bookmarkStart w:id="84" w:name="ref-horvitzEffectsPlantSize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4"/>
    <w:bookmarkStart w:id="85" w:name="ref-janssenDroughtEffectsLeaf2021"/>
    <w:p>
      <w:pPr>
        <w:pStyle w:val="Bibliography"/>
      </w:pPr>
      <w:r>
        <w:t xml:space="preserve">Janssen, T., Y. van der Velde, F. Hofhansl, S. Luyssaert, K. Naudts, B. Driessen, K. Fleischer, and H. Dolman. 2021. Drought effects on leaf fall, leaf flushing and stem growth in neotropical forest; reconciling remote sensing data and field observations. Biogeosciences Discussions:1–41.</w:t>
      </w:r>
    </w:p>
    <w:bookmarkEnd w:id="85"/>
    <w:bookmarkStart w:id="86"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6"/>
    <w:bookmarkStart w:id="87" w:name="Xa99c369390e67fbd81b709663dd0446547bfd97"/>
    <w:p>
      <w:pPr>
        <w:pStyle w:val="Bibliography"/>
      </w:pPr>
      <w:r>
        <w:t xml:space="preserve">Klimešová, J., J. Martínková, and G. Ottaviani. 2018. Belowground plant functional ecology:</w:t>
      </w:r>
      <w:r>
        <w:t xml:space="preserve"> </w:t>
      </w:r>
      <w:r>
        <w:t xml:space="preserve">Towards</w:t>
      </w:r>
      <w:r>
        <w:t xml:space="preserve"> </w:t>
      </w:r>
      <w:r>
        <w:t xml:space="preserve">an integrated perspective. Functional Ecology 32:2115–2126.</w:t>
      </w:r>
    </w:p>
    <w:bookmarkEnd w:id="87"/>
    <w:bookmarkStart w:id="88" w:name="Xce5a62b2f280cb1a4a43ff99388095d7a62a7a8"/>
    <w:p>
      <w:pPr>
        <w:pStyle w:val="Bibliography"/>
      </w:pPr>
      <w:r>
        <w:t xml:space="preserve">Kress,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8"/>
    <w:bookmarkStart w:id="89"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 Evolution 37:735–744.</w:t>
      </w:r>
    </w:p>
    <w:bookmarkEnd w:id="89"/>
    <w:bookmarkStart w:id="90"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90"/>
    <w:bookmarkStart w:id="91" w:name="ref-lauranceEffectsStrongDrought2001"/>
    <w:p>
      <w:pPr>
        <w:pStyle w:val="Bibliography"/>
      </w:pPr>
      <w:r>
        <w:t xml:space="preserve">Laurance, W. F., G. B. Williamson, P. Delamônica, A. Oliveira, T. E. Lovejoy, C. Gascon, and L. Pohl. 2001. Effects of a strong drought on</w:t>
      </w:r>
      <w:r>
        <w:t xml:space="preserve"> </w:t>
      </w:r>
      <w:r>
        <w:t xml:space="preserve">Amazonian</w:t>
      </w:r>
      <w:r>
        <w:t xml:space="preserve"> </w:t>
      </w:r>
      <w:r>
        <w:t xml:space="preserve">forest fragments and edges. Journal of Tropical Ecology 17:771–785.</w:t>
      </w:r>
    </w:p>
    <w:bookmarkEnd w:id="91"/>
    <w:bookmarkStart w:id="92" w:name="ref-leitoldNinoDroughtIncreased2018"/>
    <w:p>
      <w:pPr>
        <w:pStyle w:val="Bibliography"/>
      </w:pPr>
      <w:r>
        <w:t xml:space="preserve">Leitold, V., D. C. Morton, M. Longo, M. N. dos-Santos, M. Keller, and M. Scaranello. 2018. El Niño drought increased canopy turnover in Amazon forests. New Phytologist 219:959–971.</w:t>
      </w:r>
    </w:p>
    <w:bookmarkEnd w:id="92"/>
    <w:bookmarkStart w:id="93" w:name="ref-malhiClimateChangeDeforestation2008"/>
    <w:p>
      <w:pPr>
        <w:pStyle w:val="Bibliography"/>
      </w:pPr>
      <w:r>
        <w:t xml:space="preserve">Malhi, Y., J. T. Roberts, R. A. Betts, T. J. Killeen, W. Li, and C. A. Nobre. 2008. Climate change, deforestation, and the fate of the</w:t>
      </w:r>
      <w:r>
        <w:t xml:space="preserve"> </w:t>
      </w:r>
      <w:r>
        <w:t xml:space="preserve">Amazon</w:t>
      </w:r>
      <w:r>
        <w:t xml:space="preserve">. Science 319:169–172.</w:t>
      </w:r>
    </w:p>
    <w:bookmarkEnd w:id="93"/>
    <w:bookmarkStart w:id="94"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94"/>
    <w:bookmarkStart w:id="95" w:name="ref-marraPracticalVariableSelection2011"/>
    <w:p>
      <w:pPr>
        <w:pStyle w:val="Bibliography"/>
      </w:pPr>
      <w:r>
        <w:t xml:space="preserve">Marra, G., and S. N. Wood. 2011. Practical variable selection for generalized additive models. Computational Statistics &amp; Data Analysis 55:2372–2387.</w:t>
      </w:r>
    </w:p>
    <w:bookmarkEnd w:id="95"/>
    <w:bookmarkStart w:id="96"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96"/>
    <w:bookmarkStart w:id="97" w:name="ref-mcphadenChildProdigy1997981999"/>
    <w:p>
      <w:pPr>
        <w:pStyle w:val="Bibliography"/>
      </w:pPr>
      <w:r>
        <w:t xml:space="preserve">McPhaden, M. J. 1999. The child prodigy of 1997-98. Nature 398:559–561.</w:t>
      </w:r>
    </w:p>
    <w:bookmarkEnd w:id="97"/>
    <w:bookmarkStart w:id="98"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8"/>
    <w:bookmarkStart w:id="99"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9"/>
    <w:bookmarkStart w:id="100"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100"/>
    <w:bookmarkStart w:id="101" w:name="ref-mulkeyInfluenceSeasonalDrought1996"/>
    <w:p>
      <w:pPr>
        <w:pStyle w:val="Bibliography"/>
      </w:pPr>
      <w:r>
        <w:t xml:space="preserve">Mulkey, S. S., and S. J. Wright. 1996. Influence of seasonal drought on the carbon balance of tropical forest plants. Pages 187–216</w:t>
      </w:r>
      <w:r>
        <w:t xml:space="preserve"> </w:t>
      </w:r>
      <w:r>
        <w:rPr>
          <w:iCs/>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101"/>
    <w:bookmarkStart w:id="102" w:name="Xcba87c4d0d66a0034e8f1ed3082be1bfaa9b26c"/>
    <w:p>
      <w:pPr>
        <w:pStyle w:val="Bibliography"/>
      </w:pPr>
      <w:r>
        <w:t xml:space="preserve">Nakazono, E. M., E. M. Bruna, and R. C. G. Mesquita.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 Forest Ecology and Management 190:219–225.</w:t>
      </w:r>
    </w:p>
    <w:bookmarkEnd w:id="102"/>
    <w:bookmarkStart w:id="103" w:name="ref-nihadRelationshipStressFlowering2018"/>
    <w:p>
      <w:pPr>
        <w:pStyle w:val="Bibliography"/>
      </w:pPr>
      <w:r>
        <w:t xml:space="preserve">Nihad, K., V. Krishnakumar, and V. L. Sheela.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 International Journal of Agriculture Sciences(IJAS) 10:5137.</w:t>
      </w:r>
    </w:p>
    <w:bookmarkEnd w:id="103"/>
    <w:bookmarkStart w:id="104"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04"/>
    <w:bookmarkStart w:id="105"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5"/>
    <w:bookmarkStart w:id="106" w:name="ref-pinheiroEffectRhizomeExposure2021"/>
    <w:p>
      <w:pPr>
        <w:pStyle w:val="Bibliography"/>
      </w:pPr>
      <w:r>
        <w:t xml:space="preserve">Pinheiro, A. M., D. M. Silva Matos, W. Dawson, and R. O. Xavier. 2021. Effect of rhizome exposure to contrasting abiotic conditions on the performance of the invasive macrophyte</w:t>
      </w:r>
      <w:r>
        <w:t xml:space="preserve"> </w:t>
      </w:r>
      <w:r>
        <w:rPr>
          <w:iCs/>
          <w:i/>
        </w:rPr>
        <w:t xml:space="preserve">Hedychium</w:t>
      </w:r>
      <w:r>
        <w:t xml:space="preserve"> </w:t>
      </w:r>
      <w:r>
        <w:rPr>
          <w:iCs/>
          <w:i/>
        </w:rPr>
        <w:t xml:space="preserve">Coronarium</w:t>
      </w:r>
      <w:r>
        <w:t xml:space="preserve"> </w:t>
      </w:r>
      <w:r>
        <w:t xml:space="preserve">J</w:t>
      </w:r>
      <w:r>
        <w:t xml:space="preserve">.</w:t>
      </w:r>
      <w:r>
        <w:t xml:space="preserve"> </w:t>
      </w:r>
      <w:r>
        <w:t xml:space="preserve">Koenig</w:t>
      </w:r>
      <w:r>
        <w:t xml:space="preserve"> </w:t>
      </w:r>
      <w:r>
        <w:t xml:space="preserve">(</w:t>
      </w:r>
      <w:r>
        <w:t xml:space="preserve">Zingiberaceae</w:t>
      </w:r>
      <w:r>
        <w:t xml:space="preserve">). Plant Ecology 222:375–385.</w:t>
      </w:r>
    </w:p>
    <w:bookmarkEnd w:id="106"/>
    <w:bookmarkStart w:id="107"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07"/>
    <w:bookmarkStart w:id="108"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8"/>
    <w:bookmarkStart w:id="109"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09"/>
    <w:bookmarkStart w:id="110" w:name="Xa482cb6b22882f61235036974905b7f615ac378"/>
    <w:p>
      <w:pPr>
        <w:pStyle w:val="Bibliography"/>
      </w:pPr>
      <w:r>
        <w:t xml:space="preserve">Rundel, P. W., A. M. Cooley, K. L. Gerst, E. C. Riordan, M. R. Sharifi, J. W. Sun, and J. A. Tower. 2020. Functional traits of broad-leaved monocot herbs in the understory and forest edges of a</w:t>
      </w:r>
      <w:r>
        <w:t xml:space="preserve"> </w:t>
      </w:r>
      <w:r>
        <w:t xml:space="preserve">Costa Rican</w:t>
      </w:r>
      <w:r>
        <w:t xml:space="preserve"> </w:t>
      </w:r>
      <w:r>
        <w:t xml:space="preserve">rainforest. PeerJ 8:e9958.</w:t>
      </w:r>
    </w:p>
    <w:bookmarkEnd w:id="110"/>
    <w:bookmarkStart w:id="111"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 Journal of Tropical Ecology 14:789–801.</w:t>
      </w:r>
    </w:p>
    <w:bookmarkEnd w:id="111"/>
    <w:bookmarkStart w:id="112"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12"/>
    <w:bookmarkStart w:id="113"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3"/>
    <w:bookmarkStart w:id="114"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4"/>
    <w:bookmarkStart w:id="115"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5"/>
    <w:bookmarkStart w:id="116"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6"/>
    <w:bookmarkStart w:id="117" w:name="X0686c9b227f785d256220cfb79a7c089a8581c8"/>
    <w:p>
      <w:pPr>
        <w:pStyle w:val="Bibliography"/>
      </w:pPr>
      <w:r>
        <w:t xml:space="preserve">Sifres, A., B. Picó, J. M. Blanca, R. De Frutos, and F. Nuez.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17"/>
    <w:bookmarkStart w:id="118" w:name="ref-snowTropicalFrugivorousBirds1981"/>
    <w:p>
      <w:pPr>
        <w:pStyle w:val="Bibliography"/>
      </w:pPr>
      <w:r>
        <w:t xml:space="preserve">Snow, D. W. 1981. Tropical frugivorous birds and their food plants - a world survey. Biotropica 13:1–14.</w:t>
      </w:r>
    </w:p>
    <w:bookmarkEnd w:id="118"/>
    <w:bookmarkStart w:id="11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 Ecology 56:285–301.</w:t>
      </w:r>
    </w:p>
    <w:bookmarkEnd w:id="119"/>
    <w:bookmarkStart w:id="120"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20"/>
    <w:bookmarkStart w:id="121" w:name="Xa086824b435fe5a87603598bac58c770d0b433c"/>
    <w:p>
      <w:pPr>
        <w:pStyle w:val="Bibliography"/>
      </w:pPr>
      <w:r>
        <w:t xml:space="preserve">Tenhumberg, B., E. E. Crone, S. Ramula, and A. J. Tyre.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 Ecology 99:915–925.</w:t>
      </w:r>
    </w:p>
    <w:bookmarkEnd w:id="121"/>
    <w:bookmarkStart w:id="122"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22"/>
    <w:bookmarkStart w:id="123"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23"/>
    <w:bookmarkStart w:id="124" w:name="X2990ffae4b5729b697c683600dc97fa0cd90c99"/>
    <w:p>
      <w:pPr>
        <w:pStyle w:val="Bibliography"/>
      </w:pPr>
      <w:r>
        <w:t xml:space="preserve">Uriarte, M., M. Anciaes, M. T. B. da Silva, P. Rubim, E. Johnson, and E. M. Bruna. 2011. Disentangling the drivers of reduced long-distance seed dispersal by birds in an experimentally fragmented landscape. Ecology 92:924–937.</w:t>
      </w:r>
    </w:p>
    <w:bookmarkEnd w:id="124"/>
    <w:bookmarkStart w:id="125"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25"/>
    <w:bookmarkStart w:id="126" w:name="ref-westerbandInteractionsPlantSize2015"/>
    <w:p>
      <w:pPr>
        <w:pStyle w:val="Bibliography"/>
      </w:pPr>
      <w:r>
        <w:t xml:space="preserve">Westerband, A. C., and C. C. Horvitz. 2015.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26"/>
    <w:bookmarkStart w:id="127"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7"/>
    <w:bookmarkStart w:id="128"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28"/>
    <w:bookmarkStart w:id="129"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29"/>
    <w:bookmarkStart w:id="130"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30"/>
    <w:bookmarkStart w:id="131" w:name="ref-wrightSeasonalDroughtSoil1992"/>
    <w:p>
      <w:pPr>
        <w:pStyle w:val="Bibliography"/>
      </w:pPr>
      <w:r>
        <w:t xml:space="preserve">Wright, S. J. 1992. Seasonal drought, soil fertility and the species density of tropical forest plant communities. Trends in Ecology &amp; Evolution 7:260–263.</w:t>
      </w:r>
    </w:p>
    <w:bookmarkEnd w:id="131"/>
    <w:bookmarkStart w:id="132"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32"/>
    <w:bookmarkStart w:id="133"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33"/>
    <w:bookmarkStart w:id="134"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4"/>
    <w:bookmarkStart w:id="135"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35"/>
    <w:bookmarkEnd w:id="136"/>
    <w:p>
      <w:r>
        <w:br w:type="page"/>
      </w:r>
    </w:p>
    <w:bookmarkStart w:id="137" w:name="colophon"/>
    <w:p>
      <w:pPr>
        <w:pStyle w:val="Heading3"/>
      </w:pPr>
      <w:r>
        <w:t xml:space="preserve">Colophon</w:t>
      </w:r>
    </w:p>
    <w:p>
      <w:pPr>
        <w:pStyle w:val="FirstParagraph"/>
      </w:pPr>
      <w:r>
        <w:t xml:space="preserve">This report was generated on 2021-04-12 12:32:13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2021-04-12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0.7.5      2021-02-19 [?]</w:t>
      </w:r>
      <w:r>
        <w:br/>
      </w:r>
      <w:r>
        <w:rPr>
          <w:rStyle w:val="VerbatimChar"/>
        </w:rPr>
        <w:t xml:space="preserve">#&gt;  P cachem         1.0.4      2021-02-13 [?]</w:t>
      </w:r>
      <w:r>
        <w:br/>
      </w:r>
      <w:r>
        <w:rPr>
          <w:rStyle w:val="VerbatimChar"/>
        </w:rPr>
        <w:t xml:space="preserve">#&gt;  P callr          3.6.0      2021-03-28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2.3.1      2021-02-23 [?]</w:t>
      </w:r>
      <w:r>
        <w:br/>
      </w:r>
      <w:r>
        <w:rPr>
          <w:rStyle w:val="VerbatimChar"/>
        </w:rPr>
        <w:t xml:space="preserve">#&gt;  P cluster        2.1.1      2021-02-14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2.1.0      2021-02-03 [?]</w:t>
      </w:r>
      <w:r>
        <w:br/>
      </w:r>
      <w:r>
        <w:rPr>
          <w:rStyle w:val="VerbatimChar"/>
        </w:rPr>
        <w:t xml:space="preserve">#&gt;  P desc           1.3.0      2021-03-05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2.4.5      2021-03-21 [?]</w:t>
      </w:r>
      <w:r>
        <w:br/>
      </w:r>
      <w:r>
        <w:rPr>
          <w:rStyle w:val="VerbatimChar"/>
        </w:rPr>
        <w:t xml:space="preserve">#&gt;  P dotenv       * 1.0.2      2017-03-01 [?]</w:t>
      </w:r>
      <w:r>
        <w:br/>
      </w:r>
      <w:r>
        <w:rPr>
          <w:rStyle w:val="VerbatimChar"/>
        </w:rPr>
        <w:t xml:space="preserve">#&gt;  P dplyr        * 1.0.5      2021-03-05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2021-04-02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1.31       2021-01-27 [?]</w:t>
      </w:r>
      <w:r>
        <w:br/>
      </w:r>
      <w:r>
        <w:rPr>
          <w:rStyle w:val="VerbatimChar"/>
        </w:rPr>
        <w:t xml:space="preserve">#&gt;    labeling       0.4.2      2020-10-20 [1]</w:t>
      </w:r>
      <w:r>
        <w:br/>
      </w:r>
      <w:r>
        <w:rPr>
          <w:rStyle w:val="VerbatimChar"/>
        </w:rPr>
        <w:t xml:space="preserve">#&gt;  P latex2exp    * 0.5.0      2021-03-18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7.3-53.1   2021-02-12 [?]</w:t>
      </w:r>
      <w:r>
        <w:br/>
      </w:r>
      <w:r>
        <w:rPr>
          <w:rStyle w:val="VerbatimChar"/>
        </w:rPr>
        <w:t xml:space="preserve">#&gt;  P Matrix         1.3-2      2021-01-06 [?]</w:t>
      </w:r>
      <w:r>
        <w:br/>
      </w:r>
      <w:r>
        <w:rPr>
          <w:rStyle w:val="VerbatimChar"/>
        </w:rPr>
        <w:t xml:space="preserve">#&gt;  P memoise        2.0.0      2021-01-26 [?]</w:t>
      </w:r>
      <w:r>
        <w:br/>
      </w:r>
      <w:r>
        <w:rPr>
          <w:rStyle w:val="VerbatimChar"/>
        </w:rPr>
        <w:t xml:space="preserve">#&gt;  P mgcv         * 1.8-34     2021-02-16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7.3-15     2021-01-24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1.5.1      2021-03-05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1.2.0      2021-02-23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3.5.0      2021-03-23 [?]</w:t>
      </w:r>
      <w:r>
        <w:br/>
      </w:r>
      <w:r>
        <w:rPr>
          <w:rStyle w:val="VerbatimChar"/>
        </w:rPr>
        <w:t xml:space="preserve">#&gt;  P ps             1.6.0      2021-02-28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1.0.0      2021-01-27 [?]</w:t>
      </w:r>
      <w:r>
        <w:br/>
      </w:r>
      <w:r>
        <w:rPr>
          <w:rStyle w:val="VerbatimChar"/>
        </w:rPr>
        <w:t xml:space="preserve">#&gt;  P rlang          0.4.10     2020-12-30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3.2-10     2021-03-16 [?]</w:t>
      </w:r>
      <w:r>
        <w:br/>
      </w:r>
      <w:r>
        <w:rPr>
          <w:rStyle w:val="VerbatimChar"/>
        </w:rPr>
        <w:t xml:space="preserve">#&gt;  P tarchetypes  * 0.1.1      2021-03-28 [?]</w:t>
      </w:r>
      <w:r>
        <w:br/>
      </w:r>
      <w:r>
        <w:rPr>
          <w:rStyle w:val="VerbatimChar"/>
        </w:rPr>
        <w:t xml:space="preserve">#&gt;  P targets      * 0.3.1      2021-03-28 [?]</w:t>
      </w:r>
      <w:r>
        <w:br/>
      </w:r>
      <w:r>
        <w:rPr>
          <w:rStyle w:val="VerbatimChar"/>
        </w:rPr>
        <w:t xml:space="preserve">#&gt;  P testthat       3.0.2      2021-02-14 [?]</w:t>
      </w:r>
      <w:r>
        <w:br/>
      </w:r>
      <w:r>
        <w:rPr>
          <w:rStyle w:val="VerbatimChar"/>
        </w:rPr>
        <w:t xml:space="preserve">#&gt;  P tibble       * 3.1.0      2021-02-25 [?]</w:t>
      </w:r>
      <w:r>
        <w:br/>
      </w:r>
      <w:r>
        <w:rPr>
          <w:rStyle w:val="VerbatimChar"/>
        </w:rPr>
        <w:t xml:space="preserve">#&gt;  P tidyr        * 1.1.3      2021-03-03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1.0.0      2021-02-20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0.3.7      2021-03-29 [?]</w:t>
      </w:r>
      <w:r>
        <w:br/>
      </w:r>
      <w:r>
        <w:rPr>
          <w:rStyle w:val="VerbatimChar"/>
        </w:rPr>
        <w:t xml:space="preserve">#&gt;  P withr          2.4.1      2021-01-26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(gavinsimpson/gratia@0bf4f0f)</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/private/var/folders/b_/2vfnxxls5vs401tmhhb3wqdh0000gp/T/Rtmp1qrcij/renv-system-library</w:t>
      </w:r>
      <w:r>
        <w:br/>
      </w:r>
      <w:r>
        <w:rPr>
          <w:rStyle w:val="VerbatimChar"/>
        </w:rPr>
        <w:t xml:space="preserve">#&gt; [3] /private/var/folders/b_/2vfnxxls5vs401tmhhb3wqdh0000gp/T/RtmpwMZS1z/renv-system-library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[c4f8e79] 2021-04-12: Merge remote-tracking branch 'origin/master'</w:t>
      </w:r>
    </w:p>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customStyle="1" w:styleId="SourceCode" w:type="paragraph">
    <w:name w:val="Source Code"/>
    <w:basedOn w:val="Normal"/>
    <w:link w:val="VerbatimChar"/>
    <w:pPr>
      <w:wordWrap w:val="off"/>
      <w:shd w:fill="f8f8f8" w:val="clear"/>
    </w:pPr>
  </w:style>
  <w:style w:customStyle="1" w:styleId="KeywordTok" w:type="character">
    <w:name w:val="KeywordTok"/>
    <w:basedOn w:val="VerbatimChar"/>
    <w:rPr>
      <w:color w:val="204a87"/>
      <w:shd w:fill="f8f8f8" w:val="clear"/>
      <w:b/>
    </w:rPr>
  </w:style>
  <w:style w:customStyle="1" w:styleId="DataTypeTok" w:type="character">
    <w:name w:val="DataTypeTok"/>
    <w:basedOn w:val="VerbatimChar"/>
    <w:rPr>
      <w:color w:val="204a87"/>
      <w:shd w:fill="f8f8f8" w:val="clear"/>
    </w:rPr>
  </w:style>
  <w:style w:customStyle="1" w:styleId="DecValTok" w:type="character">
    <w:name w:val="DecValTok"/>
    <w:basedOn w:val="VerbatimChar"/>
    <w:rPr>
      <w:color w:val="0000cf"/>
      <w:shd w:fill="f8f8f8" w:val="clear"/>
    </w:rPr>
  </w:style>
  <w:style w:customStyle="1" w:styleId="BaseNTok" w:type="character">
    <w:name w:val="BaseNTok"/>
    <w:basedOn w:val="VerbatimChar"/>
    <w:rPr>
      <w:color w:val="0000cf"/>
      <w:shd w:fill="f8f8f8" w:val="clear"/>
    </w:rPr>
  </w:style>
  <w:style w:customStyle="1" w:styleId="FloatTok" w:type="character">
    <w:name w:val="FloatTok"/>
    <w:basedOn w:val="VerbatimChar"/>
    <w:rPr>
      <w:color w:val="0000cf"/>
      <w:shd w:fill="f8f8f8" w:val="clear"/>
    </w:rPr>
  </w:style>
  <w:style w:customStyle="1" w:styleId="ConstantTok" w:type="character">
    <w:name w:val="ConstantTok"/>
    <w:basedOn w:val="VerbatimChar"/>
    <w:rPr>
      <w:color w:val="000000"/>
      <w:shd w:fill="f8f8f8" w:val="clear"/>
    </w:rPr>
  </w:style>
  <w:style w:customStyle="1" w:styleId="CharTok" w:type="character">
    <w:name w:val="CharTok"/>
    <w:basedOn w:val="VerbatimChar"/>
    <w:rPr>
      <w:color w:val="4e9a06"/>
      <w:shd w:fill="f8f8f8" w:val="clear"/>
    </w:rPr>
  </w:style>
  <w:style w:customStyle="1" w:styleId="SpecialCharTok" w:type="character">
    <w:name w:val="SpecialCharTok"/>
    <w:basedOn w:val="VerbatimChar"/>
    <w:rPr>
      <w:color w:val="000000"/>
      <w:shd w:fill="f8f8f8" w:val="clear"/>
    </w:rPr>
  </w:style>
  <w:style w:customStyle="1" w:styleId="StringTok" w:type="character">
    <w:name w:val="StringTok"/>
    <w:basedOn w:val="VerbatimChar"/>
    <w:rPr>
      <w:color w:val="4e9a06"/>
      <w:shd w:fill="f8f8f8" w:val="clear"/>
    </w:rPr>
  </w:style>
  <w:style w:customStyle="1" w:styleId="VerbatimStringTok" w:type="character">
    <w:name w:val="VerbatimStringTok"/>
    <w:basedOn w:val="VerbatimChar"/>
    <w:rPr>
      <w:color w:val="4e9a06"/>
      <w:shd w:fill="f8f8f8" w:val="clear"/>
    </w:rPr>
  </w:style>
  <w:style w:customStyle="1" w:styleId="SpecialStringTok" w:type="character">
    <w:name w:val="SpecialStringTok"/>
    <w:basedOn w:val="VerbatimChar"/>
    <w:rPr>
      <w:color w:val="4e9a06"/>
      <w:shd w:fill="f8f8f8" w:val="clear"/>
    </w:rPr>
  </w:style>
  <w:style w:customStyle="1" w:styleId="ImportTok" w:type="character">
    <w:name w:val="ImportTok"/>
    <w:basedOn w:val="VerbatimChar"/>
    <w:rPr>
      <w:shd w:fill="f8f8f8" w:val="clear"/>
    </w:rPr>
  </w:style>
  <w:style w:customStyle="1" w:styleId="CommentTok" w:type="character">
    <w:name w:val="CommentTok"/>
    <w:basedOn w:val="VerbatimChar"/>
    <w:rPr>
      <w:color w:val="8f5902"/>
      <w:shd w:fill="f8f8f8" w:val="clear"/>
      <w:i/>
    </w:rPr>
  </w:style>
  <w:style w:customStyle="1" w:styleId="DocumentationTok" w:type="character">
    <w:name w:val="DocumentationTok"/>
    <w:basedOn w:val="VerbatimChar"/>
    <w:rPr>
      <w:color w:val="8f5902"/>
      <w:shd w:fill="f8f8f8" w:val="clear"/>
      <w:b/>
      <w:i/>
    </w:rPr>
  </w:style>
  <w:style w:customStyle="1" w:styleId="AnnotationTok" w:type="character">
    <w:name w:val="AnnotationTok"/>
    <w:basedOn w:val="VerbatimChar"/>
    <w:rPr>
      <w:color w:val="8f5902"/>
      <w:shd w:fill="f8f8f8" w:val="clear"/>
      <w:b/>
      <w:i/>
    </w:rPr>
  </w:style>
  <w:style w:customStyle="1" w:styleId="CommentVarTok" w:type="character">
    <w:name w:val="CommentVarTok"/>
    <w:basedOn w:val="VerbatimChar"/>
    <w:rPr>
      <w:color w:val="8f5902"/>
      <w:shd w:fill="f8f8f8" w:val="clear"/>
      <w:b/>
      <w:i/>
    </w:rPr>
  </w:style>
  <w:style w:customStyle="1" w:styleId="OtherTok" w:type="character">
    <w:name w:val="OtherTok"/>
    <w:basedOn w:val="VerbatimChar"/>
    <w:rPr>
      <w:color w:val="8f5902"/>
      <w:shd w:fill="f8f8f8" w:val="clear"/>
    </w:rPr>
  </w:style>
  <w:style w:customStyle="1" w:styleId="FunctionTok" w:type="character">
    <w:name w:val="FunctionTok"/>
    <w:basedOn w:val="VerbatimChar"/>
    <w:rPr>
      <w:color w:val="000000"/>
      <w:shd w:fill="f8f8f8" w:val="clear"/>
    </w:rPr>
  </w:style>
  <w:style w:customStyle="1" w:styleId="VariableTok" w:type="character">
    <w:name w:val="VariableTok"/>
    <w:basedOn w:val="VerbatimChar"/>
    <w:rPr>
      <w:color w:val="000000"/>
      <w:shd w:fill="f8f8f8" w:val="clear"/>
    </w:rPr>
  </w:style>
  <w:style w:customStyle="1" w:styleId="ControlFlowTok" w:type="character">
    <w:name w:val="ControlFlowTok"/>
    <w:basedOn w:val="VerbatimChar"/>
    <w:rPr>
      <w:color w:val="204a87"/>
      <w:shd w:fill="f8f8f8" w:val="clear"/>
      <w:b/>
    </w:rPr>
  </w:style>
  <w:style w:customStyle="1" w:styleId="OperatorTok" w:type="character">
    <w:name w:val="OperatorTok"/>
    <w:basedOn w:val="VerbatimChar"/>
    <w:rPr>
      <w:color w:val="ce5c00"/>
      <w:shd w:fill="f8f8f8" w:val="clear"/>
      <w:b/>
    </w:rPr>
  </w:style>
  <w:style w:customStyle="1" w:styleId="BuiltInTok" w:type="character">
    <w:name w:val="BuiltInTok"/>
    <w:basedOn w:val="VerbatimChar"/>
    <w:rPr>
      <w:shd w:fill="f8f8f8" w:val="clear"/>
    </w:rPr>
  </w:style>
  <w:style w:customStyle="1" w:styleId="ExtensionTok" w:type="character">
    <w:name w:val="ExtensionTok"/>
    <w:basedOn w:val="VerbatimChar"/>
    <w:rPr>
      <w:shd w:fill="f8f8f8" w:val="clear"/>
    </w:rPr>
  </w:style>
  <w:style w:customStyle="1" w:styleId="PreprocessorTok" w:type="character">
    <w:name w:val="PreprocessorTok"/>
    <w:basedOn w:val="VerbatimChar"/>
    <w:rPr>
      <w:color w:val="8f5902"/>
      <w:shd w:fill="f8f8f8" w:val="clear"/>
      <w:i/>
    </w:rPr>
  </w:style>
  <w:style w:customStyle="1" w:styleId="AttributeTok" w:type="character">
    <w:name w:val="AttributeTok"/>
    <w:basedOn w:val="VerbatimChar"/>
    <w:rPr>
      <w:color w:val="c4a000"/>
      <w:shd w:fill="f8f8f8" w:val="clear"/>
    </w:rPr>
  </w:style>
  <w:style w:customStyle="1" w:styleId="RegionMarkerTok" w:type="character">
    <w:name w:val="RegionMarkerTok"/>
    <w:basedOn w:val="VerbatimChar"/>
    <w:rPr>
      <w:shd w:fill="f8f8f8" w:val="clear"/>
    </w:rPr>
  </w:style>
  <w:style w:customStyle="1" w:styleId="InformationTok" w:type="character">
    <w:name w:val="InformationTok"/>
    <w:basedOn w:val="VerbatimChar"/>
    <w:rPr>
      <w:color w:val="8f5902"/>
      <w:shd w:fill="f8f8f8" w:val="clear"/>
      <w:b/>
      <w:i/>
    </w:rPr>
  </w:style>
  <w:style w:customStyle="1" w:styleId="WarningTok" w:type="character">
    <w:name w:val="WarningTok"/>
    <w:basedOn w:val="VerbatimChar"/>
    <w:rPr>
      <w:color w:val="8f5902"/>
      <w:shd w:fill="f8f8f8" w:val="clear"/>
      <w:b/>
      <w:i/>
    </w:rPr>
  </w:style>
  <w:style w:customStyle="1" w:styleId="AlertTok" w:type="character">
    <w:name w:val="AlertTok"/>
    <w:basedOn w:val="VerbatimChar"/>
    <w:rPr>
      <w:color w:val="ef2929"/>
      <w:shd w:fill="f8f8f8" w:val="clear"/>
    </w:rPr>
  </w:style>
  <w:style w:customStyle="1" w:styleId="ErrorTok" w:type="character">
    <w:name w:val="ErrorTok"/>
    <w:basedOn w:val="VerbatimChar"/>
    <w:rPr>
      <w:color w:val="a40000"/>
      <w:shd w:fill="f8f8f8" w:val="clear"/>
      <w:b/>
    </w:rPr>
  </w:style>
  <w:style w:customStyle="1" w:styleId="NormalTok" w:type="character">
    <w:name w:val="NormalTok"/>
    <w:basedOn w:val="VerbatimChar"/>
    <w:rPr>
      <w:shd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40"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2021-04-12T16:32:16Z</dcterms:created>
  <dcterms:modified xsi:type="dcterms:W3CDTF">2021-04-12T16:32:16Z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12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