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William F. Laurance et al., 2006)</w:t>
      </w:r>
      <w:r>
        <w:t xml:space="preserve">.</w:t>
      </w:r>
      <w:r>
        <w:t xml:space="preserve"> </w:t>
      </w:r>
      <w:r>
        <w:t xml:space="preserve">Although the demographic mechanisms responsible these extinctions are poorly understood</w:t>
      </w:r>
      <w:r>
        <w:t xml:space="preserve"> </w:t>
      </w:r>
      <w:r>
        <w:t xml:space="preserve">(E. M. 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(E. M. Bruna, 1999 ; W. F.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 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 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 Plant populations may be particularly sensitive – an increase in the frequency and severity of extreme precipitation events can have detrimental consequences for survival and reproduction</w:t>
      </w:r>
      <w:r>
        <w:t xml:space="preserve"> </w:t>
      </w:r>
      <w:r>
        <w:t xml:space="preserve">(Esteban et al., 2021; Gaoue et al., 2019)</w:t>
      </w:r>
      <w:r>
        <w:t xml:space="preserve">. This, coupled with the evidence that growth and survivorship are already lower in fragments</w:t>
      </w:r>
      <w:r>
        <w:t xml:space="preserve"> </w:t>
      </w:r>
      <w:r>
        <w:t xml:space="preserve">(E. M. 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(E. M. 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(W. F. 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(E. M. 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(E. M. 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(E. M. 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(E. M. 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(E. M. Bruna, 1999; E. M.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(E. M. Bruna, 2002; E. M.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E. M. 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(E. M. 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recent SPEI values (i.e. within the past 0–12 months) had the strongest effect on survival</w:t>
      </w:r>
      <w:r>
        <w:t xml:space="preserve"> </w:t>
      </w:r>
      <w:r>
        <w:t xml:space="preserve">.,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 – 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w:t>
      </w:r>
      <w:r>
        <w:t xml:space="preserve"> </w:t>
      </w:r>
      <w:r>
        <w:t xml:space="preserve">Drought 15–20 months prior to a census (i.e., SPEI &lt; -1) was associated with reduced survival, while high precipitation (i.e., SPEI &gt; 1) was associated with higher survival (put another way,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effects of SPEI on flowering probability in continuous forest were also more complex (1-ha edf = 8.1, continuous forest edf = 10.3);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w:t>
      </w:r>
      <w:r>
        <w:t xml:space="preserve"> </w:t>
      </w:r>
      <w:r>
        <w:t xml:space="preserve">The responses in 1-ha fragments were substantially more muted, as indicated by the shape of the crossbasis function (Figure</w:t>
      </w:r>
      <w:r>
        <w:t xml:space="preserve"> </w:t>
      </w:r>
      <w:r>
        <w:t xml:space="preserve">5</w:t>
      </w:r>
      <w:r>
        <w:t xml:space="preserve">a).</w:t>
      </w:r>
      <w:r>
        <w:t xml:space="preserve"> </w:t>
      </w:r>
      <w:r>
        <w:t xml:space="preserve">In other words,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rPr>
          <w:iCs/>
          <w:i/>
          <w:bCs/>
          <w:b/>
        </w:rPr>
        <w:t xml:space="preserve">ALTERNATIVE SUMMARY OF THE FLOWERING RESULTS?</w:t>
      </w:r>
      <w:r>
        <w:t xml:space="preserve"> </w:t>
      </w: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 in continuous forest far more than it did in fragments (Figure</w:t>
      </w:r>
      <w:r>
        <w:t xml:space="preserve"> </w:t>
      </w:r>
      <w:r>
        <w:t xml:space="preserve">5</w:t>
      </w:r>
      <w:r>
        <w:t xml:space="preserve">c).</w:t>
      </w:r>
      <w:r>
        <w:t xml:space="preserve"> </w:t>
      </w:r>
      <w:r>
        <w:t xml:space="preserve">The greatest similarity between forest and fragments occurs when there is strong drought 8–12 months prior, or precipitation 15–20 months prior is extremely high.</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 — 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r>
        <w:t xml:space="preserve"> </w:t>
      </w:r>
      <w:r>
        <w:t xml:space="preserve">This suggests that….</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 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 We also found that the delayed responses of populations in fragments can differ significantly in magnitude, direction, and lag time from those of populations in continuous forest. This suggests that the hypothesized synergies between climate and fragmentation on population dynamics</w:t>
      </w:r>
      <w:r>
        <w:t xml:space="preserve"> </w:t>
      </w:r>
      <w:r>
        <w:t xml:space="preserve">(W. F. 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1997-2002 (i.e., higher survival in continuous forest), 2002-2005 (i.e., higher survival in fragments), or 2004-2007 (i.e, no clear effect of fragmentation;</w:t>
      </w:r>
      <w:r>
        <w:t xml:space="preserve"> </w:t>
      </w:r>
      <w:r>
        <w:t xml:space="preserve">1</w:t>
      </w:r>
      <w:r>
        <w:rPr>
          <w:bCs/>
          <w:b/>
        </w:rPr>
        <w:t xml:space="preserve">X</w:t>
      </w:r>
      <w:r>
        <w:t xml:space="preserve">). It is only when evaluating over longer time windows that it becomes apparent mortality is elevated in fragments relative fo continuous forest (</w:t>
      </w:r>
      <w:r>
        <w:rPr>
          <w:bCs/>
          <w:b/>
        </w:rPr>
        <w:t xml:space="preserve">Fig 2</w:t>
      </w:r>
      <w:r>
        <w:t xml:space="preserve">), and that the observed interannual variation is largely driven by dynamic patterns of recruitment</w:t>
      </w:r>
      <w:r>
        <w:t xml:space="preserve"> </w:t>
      </w:r>
      <w:r>
        <w:t xml:space="preserve">(E. M. Bruna, 2002)</w:t>
      </w:r>
      <w:r>
        <w:t xml:space="preserve"> </w:t>
      </w:r>
      <w:r>
        <w:t xml:space="preserve">coupled with low mortality for plants beyond the smallest size classes</w:t>
      </w:r>
      <w:r>
        <w:t xml:space="preserve"> </w:t>
      </w:r>
      <w:r>
        <w:t xml:space="preserve">(Emilio M. 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 This could lead to erroneous extrapolations regarding the effects of fragmentation on reproductive mutualists or how population genetic structure</w:t>
      </w:r>
      <w:r>
        <w:t xml:space="preserve"> </w:t>
      </w:r>
      <w:r>
        <w:t xml:space="preserve">(Côrtes et al., 2013; María Uriarte et al., 2010; María Uriarte et al., 2011)</w:t>
      </w:r>
      <w:r>
        <w:t xml:space="preserve">. 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(William F. Morris et al., 2008)</w:t>
      </w:r>
      <w:r>
        <w:t xml:space="preserve">.</w:t>
      </w:r>
    </w:p>
    <w:p>
      <w:pPr>
        <w:pStyle w:val="BodyText"/>
      </w:pPr>
      <w:r>
        <w:t xml:space="preserve">It is important to emphasize, however, that the overall effects of SPEI on survival and growth are more severe in fragments than continuous forest (</w:t>
      </w:r>
      <w:r>
        <w:rPr>
          <w:bCs/>
          <w:b/>
        </w:rPr>
        <w:t xml:space="preserve">Fig X</w:t>
      </w:r>
      <w:r>
        <w:t xml:space="preserve">).</w:t>
      </w:r>
      <w:r>
        <w:t xml:space="preserve"> </w:t>
      </w:r>
      <w:r>
        <w:t xml:space="preserve">Furthermore, the magnitude of plant responses to climatic extremes is also greater in habitat fragments —extreme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 - especially near edges with high contrast matrix - 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(W. F. 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 This has largely been due to the challenge (both ecologically and statistically)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(E. M. 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(E. M. 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topical trees may not die until three or more years after a drought</w:t>
      </w:r>
      <w:r>
        <w:t xml:space="preserve"> </w:t>
      </w:r>
      <w:r>
        <w:t xml:space="preserve">(Criley &amp; Lekawatana, 1994)</w:t>
      </w:r>
      <w:r>
        <w:t xml:space="preserve">. 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(Emilio M. Bruna &amp; Oli, 2005)</w:t>
      </w:r>
      <w:r>
        <w:t xml:space="preserve">. Similar delayed changes in the local environment could also influence the foraging behavior of a plant’s pollinators</w:t>
      </w:r>
      <w:r>
        <w:t xml:space="preserve"> </w:t>
      </w:r>
      <w:r>
        <w:t xml:space="preserve">(E. M. Bruna et al., 2004; Stouffer &amp; Bierregaard, 1996)</w:t>
      </w:r>
      <w:r>
        <w:t xml:space="preserve">, seed dispersers</w:t>
      </w:r>
      <w:r>
        <w:t xml:space="preserve"> </w:t>
      </w:r>
      <w:r>
        <w:t xml:space="preserve">(María Uriarte et al., 2011)</w:t>
      </w:r>
      <w:r>
        <w:t xml:space="preserve">, or herbivores</w:t>
      </w:r>
      <w:r>
        <w:t xml:space="preserve"> </w:t>
      </w:r>
      <w:r>
        <w:t xml:space="preserve">(Scott et al., 2021)</w:t>
      </w:r>
      <w:r>
        <w:t xml:space="preserve">. 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rPr>
          <w:bCs/>
          <w:b/>
        </w:rPr>
        <w:t xml:space="preserve">(CITATIONS)</w:t>
      </w:r>
      <w:r>
        <w:t xml:space="preserve"> </w:t>
      </w:r>
      <w:r>
        <w:t xml:space="preserve">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(W. F. 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E. M.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(Emilio M. 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(E. M. 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83" w:name="references"/>
    <w:p>
      <w:pPr>
        <w:pStyle w:val="Heading1"/>
      </w:pPr>
      <w:r>
        <w:t xml:space="preserve">References</w:t>
      </w:r>
    </w:p>
    <w:bookmarkStart w:id="282"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Emilio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Emilio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91">
        <w:r>
          <w:rPr>
            <w:rStyle w:val="Hyperlink"/>
          </w:rPr>
          <w:t xml:space="preserve">https://doi.org/10.1038/nclimate2100</w:t>
        </w:r>
      </w:hyperlink>
    </w:p>
    <w:bookmarkEnd w:id="92"/>
    <w:bookmarkStart w:id="9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3">
        <w:r>
          <w:rPr>
            <w:rStyle w:val="Hyperlink"/>
          </w:rPr>
          <w:t xml:space="preserve">https://doi.org/10.1139/x90-084</w:t>
        </w:r>
      </w:hyperlink>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0"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10"/>
    <w:bookmarkStart w:id="112"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1">
        <w:r>
          <w:rPr>
            <w:rStyle w:val="Hyperlink"/>
          </w:rPr>
          <w:t xml:space="preserve">https://doi.org/10.1016/j.tree.2013.06.010</w:t>
        </w:r>
      </w:hyperlink>
    </w:p>
    <w:bookmarkEnd w:id="112"/>
    <w:bookmarkStart w:id="114"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3">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40">
        <w:r>
          <w:rPr>
            <w:rStyle w:val="Hyperlink"/>
          </w:rPr>
          <w:t xml:space="preserve">https://doi.org/10.1038/ngeo2382</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4">
        <w:r>
          <w:rPr>
            <w:rStyle w:val="Hyperlink"/>
          </w:rPr>
          <w:t xml:space="preserve">https://doi.org/10.1111/j.1365-3040.1996.tb00002.x</w:t>
        </w:r>
      </w:hyperlink>
    </w:p>
    <w:bookmarkEnd w:id="145"/>
    <w:bookmarkStart w:id="147"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6">
        <w:r>
          <w:rPr>
            <w:rStyle w:val="Hyperlink"/>
          </w:rPr>
          <w:t xml:space="preserve">https://doi.org/10.1111/1749-4877.12167</w:t>
        </w:r>
      </w:hyperlink>
    </w:p>
    <w:bookmarkEnd w:id="147"/>
    <w:bookmarkStart w:id="149"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8">
        <w:r>
          <w:rPr>
            <w:rStyle w:val="Hyperlink"/>
          </w:rPr>
          <w:t xml:space="preserve">https://doi.org/10.2307/1941152</w:t>
        </w:r>
      </w:hyperlink>
    </w:p>
    <w:bookmarkEnd w:id="149"/>
    <w:bookmarkStart w:id="151"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50">
        <w:r>
          <w:rPr>
            <w:rStyle w:val="Hyperlink"/>
          </w:rPr>
          <w:t xml:space="preserve">https://doi.org/10.1029/2005GL025583</w:t>
        </w:r>
      </w:hyperlink>
    </w:p>
    <w:bookmarkEnd w:id="151"/>
    <w:bookmarkStart w:id="153"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52">
        <w:r>
          <w:rPr>
            <w:rStyle w:val="Hyperlink"/>
          </w:rPr>
          <w:t xml:space="preserve">https://doi.org/10.5194/bg-2021-30</w:t>
        </w:r>
      </w:hyperlink>
    </w:p>
    <w:bookmarkEnd w:id="153"/>
    <w:bookmarkStart w:id="155"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4">
        <w:r>
          <w:rPr>
            <w:rStyle w:val="Hyperlink"/>
          </w:rPr>
          <w:t xml:space="preserve">https://doi.org/10.1088/1748-9326/9/12/124021</w:t>
        </w:r>
      </w:hyperlink>
    </w:p>
    <w:bookmarkEnd w:id="155"/>
    <w:bookmarkStart w:id="15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6">
        <w:r>
          <w:rPr>
            <w:rStyle w:val="Hyperlink"/>
          </w:rPr>
          <w:t xml:space="preserve">https://doi.org/10.1111/ele.13485</w:t>
        </w:r>
      </w:hyperlink>
    </w:p>
    <w:bookmarkEnd w:id="157"/>
    <w:bookmarkStart w:id="15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8">
        <w:r>
          <w:rPr>
            <w:rStyle w:val="Hyperlink"/>
          </w:rPr>
          <w:t xml:space="preserve">https://doi.org/10.1111/1365-2435.13145</w:t>
        </w:r>
      </w:hyperlink>
    </w:p>
    <w:bookmarkEnd w:id="159"/>
    <w:bookmarkStart w:id="160"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3"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82">
        <w:r>
          <w:rPr>
            <w:rStyle w:val="Hyperlink"/>
          </w:rPr>
          <w:t xml:space="preserve">https://doi.org/10.1038/nature12540</w:t>
        </w:r>
      </w:hyperlink>
    </w:p>
    <w:bookmarkEnd w:id="183"/>
    <w:bookmarkStart w:id="184"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4"/>
    <w:bookmarkStart w:id="186" w:name="ref-morrisLongevityCanBuffer2008"/>
    <w:p>
      <w:pPr>
        <w:pStyle w:val="Bibliography"/>
      </w:pPr>
      <w:r>
        <w:t xml:space="preserve">Morris, William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5">
        <w:r>
          <w:rPr>
            <w:rStyle w:val="Hyperlink"/>
          </w:rPr>
          <w:t xml:space="preserve">https://doi.org/10.1890/07-0774.1</w:t>
        </w:r>
      </w:hyperlink>
    </w:p>
    <w:bookmarkEnd w:id="186"/>
    <w:bookmarkStart w:id="188"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7">
        <w:r>
          <w:rPr>
            <w:rStyle w:val="Hyperlink"/>
          </w:rPr>
          <w:t xml:space="preserve">https://doi.org/10.1007/BF00320821</w:t>
        </w:r>
      </w:hyperlink>
    </w:p>
    <w:bookmarkEnd w:id="188"/>
    <w:bookmarkStart w:id="190"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9">
        <w:r>
          <w:rPr>
            <w:rStyle w:val="Hyperlink"/>
          </w:rPr>
          <w:t xml:space="preserve">https://doi.org/10.1007/978-1-4613-1163-8_7</w:t>
        </w:r>
      </w:hyperlink>
    </w:p>
    <w:bookmarkEnd w:id="190"/>
    <w:bookmarkStart w:id="19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91"/>
    <w:bookmarkStart w:id="19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92">
        <w:r>
          <w:rPr>
            <w:rStyle w:val="Hyperlink"/>
          </w:rPr>
          <w:t xml:space="preserve">https://doi.org/10.1016/j.foreco.2003.10.013</w:t>
        </w:r>
      </w:hyperlink>
    </w:p>
    <w:bookmarkEnd w:id="193"/>
    <w:bookmarkStart w:id="19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94">
        <w:r>
          <w:rPr>
            <w:rStyle w:val="Hyperlink"/>
          </w:rPr>
          <w:t xml:space="preserve">https://doi.org/10.9735/0975-3710.10.3.5137-5139</w:t>
        </w:r>
      </w:hyperlink>
    </w:p>
    <w:bookmarkEnd w:id="195"/>
    <w:bookmarkStart w:id="19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6">
        <w:r>
          <w:rPr>
            <w:rStyle w:val="Hyperlink"/>
          </w:rPr>
          <w:t xml:space="preserve">https://doi.org/10.1111/ele.12399</w:t>
        </w:r>
      </w:hyperlink>
    </w:p>
    <w:bookmarkEnd w:id="197"/>
    <w:bookmarkStart w:id="19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8">
        <w:r>
          <w:rPr>
            <w:rStyle w:val="Hyperlink"/>
          </w:rPr>
          <w:t xml:space="preserve">https://doi.org/10.1038/nclimate2746</w:t>
        </w:r>
      </w:hyperlink>
    </w:p>
    <w:bookmarkEnd w:id="199"/>
    <w:bookmarkStart w:id="20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200"/>
    <w:bookmarkStart w:id="20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201">
        <w:r>
          <w:rPr>
            <w:rStyle w:val="Hyperlink"/>
          </w:rPr>
          <w:t xml:space="preserve">https://doi.org/10.1111/1365-2656.13467</w:t>
        </w:r>
      </w:hyperlink>
    </w:p>
    <w:bookmarkEnd w:id="202"/>
    <w:bookmarkStart w:id="20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203"/>
    <w:bookmarkStart w:id="20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4">
        <w:r>
          <w:rPr>
            <w:rStyle w:val="Hyperlink"/>
          </w:rPr>
          <w:t xml:space="preserve">https://doi.org/10.1111/j.1469-8137.2010.03359.x</w:t>
        </w:r>
      </w:hyperlink>
    </w:p>
    <w:bookmarkEnd w:id="205"/>
    <w:bookmarkStart w:id="20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6">
        <w:r>
          <w:rPr>
            <w:rStyle w:val="Hyperlink"/>
          </w:rPr>
          <w:t xml:space="preserve">https://doi.org/10.1016/j.ecoinf.2020.101178</w:t>
        </w:r>
      </w:hyperlink>
    </w:p>
    <w:bookmarkEnd w:id="207"/>
    <w:bookmarkStart w:id="20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8">
        <w:r>
          <w:rPr>
            <w:rStyle w:val="Hyperlink"/>
          </w:rPr>
          <w:t xml:space="preserve">https://doi.org/10.1007/s11240-012-0160-7</w:t>
        </w:r>
      </w:hyperlink>
    </w:p>
    <w:bookmarkEnd w:id="209"/>
    <w:bookmarkStart w:id="21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0"/>
    <w:bookmarkStart w:id="21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1">
        <w:r>
          <w:rPr>
            <w:rStyle w:val="Hyperlink"/>
          </w:rPr>
          <w:t xml:space="preserve">https://doi.org/10.1590/1809-43921992224534</w:t>
        </w:r>
      </w:hyperlink>
    </w:p>
    <w:bookmarkEnd w:id="212"/>
    <w:bookmarkStart w:id="21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3"/>
    <w:bookmarkStart w:id="21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4">
        <w:r>
          <w:rPr>
            <w:rStyle w:val="Hyperlink"/>
          </w:rPr>
          <w:t xml:space="preserve">https://doi.org/10.7717/peerj.9958</w:t>
        </w:r>
      </w:hyperlink>
    </w:p>
    <w:bookmarkEnd w:id="215"/>
    <w:bookmarkStart w:id="21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6">
        <w:r>
          <w:rPr>
            <w:rStyle w:val="Hyperlink"/>
          </w:rPr>
          <w:t xml:space="preserve">https://doi.org/10.1017/S0266467498000571</w:t>
        </w:r>
      </w:hyperlink>
    </w:p>
    <w:bookmarkEnd w:id="217"/>
    <w:bookmarkStart w:id="21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8">
        <w:r>
          <w:rPr>
            <w:rStyle w:val="Hyperlink"/>
          </w:rPr>
          <w:t xml:space="preserve">https://doi.org/10.1111/1365-2745.12334</w:t>
        </w:r>
      </w:hyperlink>
    </w:p>
    <w:bookmarkEnd w:id="219"/>
    <w:bookmarkStart w:id="22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0">
        <w:r>
          <w:rPr>
            <w:rStyle w:val="Hyperlink"/>
          </w:rPr>
          <w:t xml:space="preserve">https://doi.org/10.1046/j.1365-2745.1999.00332.x</w:t>
        </w:r>
      </w:hyperlink>
    </w:p>
    <w:bookmarkEnd w:id="221"/>
    <w:bookmarkStart w:id="22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2">
        <w:r>
          <w:rPr>
            <w:rStyle w:val="Hyperlink"/>
          </w:rPr>
          <w:t xml:space="preserve">https://doi.org/10.1111/btp.12355</w:t>
        </w:r>
      </w:hyperlink>
    </w:p>
    <w:bookmarkEnd w:id="223"/>
    <w:bookmarkStart w:id="22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4">
        <w:r>
          <w:rPr>
            <w:rStyle w:val="Hyperlink"/>
          </w:rPr>
          <w:t xml:space="preserve">https://doi.org/10.1038/nature23021</w:t>
        </w:r>
      </w:hyperlink>
    </w:p>
    <w:bookmarkEnd w:id="225"/>
    <w:bookmarkStart w:id="22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6">
        <w:r>
          <w:rPr>
            <w:rStyle w:val="Hyperlink"/>
          </w:rPr>
          <w:t xml:space="preserve">https://doi.org/10.1002/ecy.2677</w:t>
        </w:r>
      </w:hyperlink>
    </w:p>
    <w:bookmarkEnd w:id="227"/>
    <w:bookmarkStart w:id="229"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8">
        <w:r>
          <w:rPr>
            <w:rStyle w:val="Hyperlink"/>
          </w:rPr>
          <w:t xml:space="preserve">https://doi.org/10.1111/een.13023</w:t>
        </w:r>
      </w:hyperlink>
    </w:p>
    <w:bookmarkEnd w:id="229"/>
    <w:bookmarkStart w:id="231"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0">
        <w:r>
          <w:rPr>
            <w:rStyle w:val="Hyperlink"/>
          </w:rPr>
          <w:t xml:space="preserve">https://doi.org/10.1111/brv.12136</w:t>
        </w:r>
      </w:hyperlink>
    </w:p>
    <w:bookmarkEnd w:id="231"/>
    <w:bookmarkStart w:id="233"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32">
        <w:r>
          <w:rPr>
            <w:rStyle w:val="Hyperlink"/>
          </w:rPr>
          <w:t xml:space="preserve">https://doi.org/10.1007/s10722-005-5725-4</w:t>
        </w:r>
      </w:hyperlink>
    </w:p>
    <w:bookmarkEnd w:id="233"/>
    <w:bookmarkStart w:id="23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4">
        <w:r>
          <w:rPr>
            <w:rStyle w:val="Hyperlink"/>
          </w:rPr>
          <w:t xml:space="preserve">https://doi.org/10.1038/s41559-020-01368-x</w:t>
        </w:r>
      </w:hyperlink>
    </w:p>
    <w:bookmarkEnd w:id="235"/>
    <w:bookmarkStart w:id="23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6">
        <w:r>
          <w:rPr>
            <w:rStyle w:val="Hyperlink"/>
          </w:rPr>
          <w:t xml:space="preserve">https://doi.org/10.1111/j.1365-2745.2005.01008.x</w:t>
        </w:r>
      </w:hyperlink>
    </w:p>
    <w:bookmarkEnd w:id="237"/>
    <w:bookmarkStart w:id="23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8">
        <w:r>
          <w:rPr>
            <w:rStyle w:val="Hyperlink"/>
          </w:rPr>
          <w:t xml:space="preserve">https://doi.org/10.2307/2387865</w:t>
        </w:r>
      </w:hyperlink>
    </w:p>
    <w:bookmarkEnd w:id="239"/>
    <w:bookmarkStart w:id="24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0">
        <w:r>
          <w:rPr>
            <w:rStyle w:val="Hyperlink"/>
          </w:rPr>
          <w:t xml:space="preserve">https://doi.org/10.2307/1934961</w:t>
        </w:r>
      </w:hyperlink>
    </w:p>
    <w:bookmarkEnd w:id="241"/>
    <w:bookmarkStart w:id="24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2"/>
    <w:bookmarkStart w:id="24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3">
        <w:r>
          <w:rPr>
            <w:rStyle w:val="Hyperlink"/>
          </w:rPr>
          <w:t xml:space="preserve">https://doi.org/10.1038/nature25508</w:t>
        </w:r>
      </w:hyperlink>
    </w:p>
    <w:bookmarkEnd w:id="244"/>
    <w:bookmarkStart w:id="24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5">
        <w:r>
          <w:rPr>
            <w:rStyle w:val="Hyperlink"/>
          </w:rPr>
          <w:t xml:space="preserve">https://doi.org/10.1111/2041-210X.12486</w:t>
        </w:r>
      </w:hyperlink>
    </w:p>
    <w:bookmarkEnd w:id="246"/>
    <w:bookmarkStart w:id="24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7">
        <w:r>
          <w:rPr>
            <w:rStyle w:val="Hyperlink"/>
          </w:rPr>
          <w:t xml:space="preserve">https://doi.org/10.1002/ecy.2163</w:t>
        </w:r>
      </w:hyperlink>
    </w:p>
    <w:bookmarkEnd w:id="248"/>
    <w:bookmarkStart w:id="25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9">
        <w:r>
          <w:rPr>
            <w:rStyle w:val="Hyperlink"/>
          </w:rPr>
          <w:t xml:space="preserve">https://doi.org/10.1111/j.1744-7429.2003.tb00278.x</w:t>
        </w:r>
      </w:hyperlink>
    </w:p>
    <w:bookmarkEnd w:id="250"/>
    <w:bookmarkStart w:id="252"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1">
        <w:r>
          <w:rPr>
            <w:rStyle w:val="Hyperlink"/>
          </w:rPr>
          <w:t xml:space="preserve">https://doi.org/10.1890/10-0709.1</w:t>
        </w:r>
      </w:hyperlink>
    </w:p>
    <w:bookmarkEnd w:id="252"/>
    <w:bookmarkStart w:id="254" w:name="Xe41534ce2b5b4872638437400c0ba46f5979352"/>
    <w:p>
      <w:pPr>
        <w:pStyle w:val="Bibliography"/>
      </w:pPr>
      <w:r>
        <w:t xml:space="preserve">Uriarte, María,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3">
        <w:r>
          <w:rPr>
            <w:rStyle w:val="Hyperlink"/>
          </w:rPr>
          <w:t xml:space="preserve">https://doi.org/10.1890/09-0785.1</w:t>
        </w:r>
      </w:hyperlink>
    </w:p>
    <w:bookmarkEnd w:id="254"/>
    <w:bookmarkStart w:id="25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55">
        <w:r>
          <w:rPr>
            <w:rStyle w:val="Hyperlink"/>
          </w:rPr>
          <w:t xml:space="preserve">https://doi.org/10.1111/gcb.14000</w:t>
        </w:r>
      </w:hyperlink>
    </w:p>
    <w:bookmarkEnd w:id="256"/>
    <w:bookmarkStart w:id="258"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7">
        <w:r>
          <w:rPr>
            <w:rStyle w:val="Hyperlink"/>
          </w:rPr>
          <w:t xml:space="preserve">https://doi.org/10.1111/btp.12380</w:t>
        </w:r>
      </w:hyperlink>
    </w:p>
    <w:bookmarkEnd w:id="258"/>
    <w:bookmarkStart w:id="26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9">
        <w:r>
          <w:rPr>
            <w:rStyle w:val="Hyperlink"/>
          </w:rPr>
          <w:t xml:space="preserve">https://doi.org/10.1890/03-5093</w:t>
        </w:r>
      </w:hyperlink>
    </w:p>
    <w:bookmarkEnd w:id="260"/>
    <w:bookmarkStart w:id="26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1">
        <w:r>
          <w:rPr>
            <w:rStyle w:val="Hyperlink"/>
          </w:rPr>
          <w:t xml:space="preserve">https://doi.org/10.1175/2009JCLI2909.1</w:t>
        </w:r>
      </w:hyperlink>
    </w:p>
    <w:bookmarkEnd w:id="262"/>
    <w:bookmarkStart w:id="264"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63">
        <w:r>
          <w:rPr>
            <w:rStyle w:val="Hyperlink"/>
          </w:rPr>
          <w:t xml:space="preserve">https://doi.org/10.3732/ajb.1500041</w:t>
        </w:r>
      </w:hyperlink>
    </w:p>
    <w:bookmarkEnd w:id="264"/>
    <w:bookmarkStart w:id="266"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5">
        <w:r>
          <w:rPr>
            <w:rStyle w:val="Hyperlink"/>
          </w:rPr>
          <w:t xml:space="preserve">https://doi.org/10.1111/1365-2745.12757</w:t>
        </w:r>
      </w:hyperlink>
    </w:p>
    <w:bookmarkEnd w:id="266"/>
    <w:bookmarkStart w:id="268"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7">
        <w:r>
          <w:rPr>
            <w:rStyle w:val="Hyperlink"/>
          </w:rPr>
          <w:t xml:space="preserve">https://doi.org/10.1111/1365-2745.12369</w:t>
        </w:r>
      </w:hyperlink>
    </w:p>
    <w:bookmarkEnd w:id="268"/>
    <w:bookmarkStart w:id="270"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9">
        <w:r>
          <w:rPr>
            <w:rStyle w:val="Hyperlink"/>
          </w:rPr>
          <w:t xml:space="preserve">https://doi.org/10.1046/j.1523-1739.2000.99298.x</w:t>
        </w:r>
      </w:hyperlink>
    </w:p>
    <w:bookmarkEnd w:id="270"/>
    <w:bookmarkStart w:id="271"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1"/>
    <w:bookmarkStart w:id="273"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2">
        <w:r>
          <w:rPr>
            <w:rStyle w:val="Hyperlink"/>
          </w:rPr>
          <w:t xml:space="preserve">https://doi.org/10.1016/0169-5347(92)90171-7</w:t>
        </w:r>
      </w:hyperlink>
    </w:p>
    <w:bookmarkEnd w:id="273"/>
    <w:bookmarkStart w:id="275"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4">
        <w:r>
          <w:rPr>
            <w:rStyle w:val="Hyperlink"/>
          </w:rPr>
          <w:t xml:space="preserve">https://doi.org/10.1111/j.1461-0248.2005.00851.x</w:t>
        </w:r>
      </w:hyperlink>
    </w:p>
    <w:bookmarkEnd w:id="275"/>
    <w:bookmarkStart w:id="276"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6"/>
    <w:bookmarkStart w:id="278"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7">
        <w:r>
          <w:rPr>
            <w:rStyle w:val="Hyperlink"/>
          </w:rPr>
          <w:t xml:space="preserve">https://doi.org/10.1002/joc.4518</w:t>
        </w:r>
      </w:hyperlink>
    </w:p>
    <w:bookmarkEnd w:id="278"/>
    <w:bookmarkStart w:id="279"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9"/>
    <w:bookmarkStart w:id="281"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0">
        <w:r>
          <w:rPr>
            <w:rStyle w:val="Hyperlink"/>
          </w:rPr>
          <w:t xml:space="preserve">https://doi.org/10.1088/1748-9326/3/1/014002</w:t>
        </w:r>
      </w:hyperlink>
    </w:p>
    <w:bookmarkEnd w:id="281"/>
    <w:bookmarkEnd w:id="282"/>
    <w:p>
      <w:r>
        <w:br w:type="page"/>
      </w:r>
    </w:p>
    <w:bookmarkEnd w:id="283"/>
    <w:bookmarkStart w:id="284"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(E. M. 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84"/>
    <w:bookmarkStart w:id="286"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85" w:name="colophon"/>
    <w:p>
      <w:pPr>
        <w:pStyle w:val="Heading3"/>
      </w:pPr>
      <w:r>
        <w:t xml:space="preserve">Colophon</w:t>
      </w:r>
    </w:p>
    <w:p>
      <w:pPr>
        <w:pStyle w:val="FirstParagraph"/>
      </w:pPr>
      <w:r>
        <w:t xml:space="preserve">This report was generated on 2021-05-17 17:32:31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/private/var/folders/b_/2vfnxxls5vs401tmhhb3wqdh0000gp/T/Rtmp0hpCnK/renv-system-library</w:t>
      </w:r>
      <w:r>
        <w:br/>
      </w:r>
      <w:r>
        <w:rPr>
          <w:rStyle w:val="VerbatimChar"/>
        </w:rPr>
        <w:t xml:space="preserve">#&gt; [3] /private/var/folders/b_/2vfnxxls5vs401tmhhb3wqdh0000gp/T/RtmpjdiJyZ/renv-system-library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[1cecc55] 2021-05-17: fix merge conflicts</w:t>
      </w:r>
    </w:p>
    <w:bookmarkEnd w:id="285"/>
    <w:bookmarkEnd w:id="28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ecs2.1708" TargetMode="External" /><Relationship Type="http://schemas.openxmlformats.org/officeDocument/2006/relationships/hyperlink" Id="rId247" Target="https://doi.org/10.1002/ecy.2163" TargetMode="External" /><Relationship Type="http://schemas.openxmlformats.org/officeDocument/2006/relationships/hyperlink" Id="rId226"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7"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2"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2"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4" Target="https://doi.org/10.1038/nature23021" TargetMode="External" /><Relationship Type="http://schemas.openxmlformats.org/officeDocument/2006/relationships/hyperlink" Id="rId243"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4" Target="https://doi.org/10.1038/s41559-020-01368-x" TargetMode="External" /><Relationship Type="http://schemas.openxmlformats.org/officeDocument/2006/relationships/hyperlink" Id="rId220"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69"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0"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7"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5"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5"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0"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2" Target="https://doi.org/10.1111/btp.12355" TargetMode="External" /><Relationship Type="http://schemas.openxmlformats.org/officeDocument/2006/relationships/hyperlink" Id="rId257"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28"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5"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6"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4"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9"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1"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9"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3" Target="https://doi.org/10.1890/09-0785.1" TargetMode="External" /><Relationship Type="http://schemas.openxmlformats.org/officeDocument/2006/relationships/hyperlink" Id="rId251"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0"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38"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3"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2021-05-17T21:32:36Z</dcterms:created>
  <dcterms:modified xsi:type="dcterms:W3CDTF">2021-05-17T21:32:36Z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