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11 Janvier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Mercredi 11 Janvier 2023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13h45 - 17h45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S103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yjvk22w2d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Implémentation du modèle MVC + Liaison à la base de donnée + Tests Système de connexion +  Système  Commentaire + Recherche Etudiant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Refonte de la page d’accueil avec la nouvelle charte graphique.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Ony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J’ai été amené à continuer le système de commentaire. Puis par la suite j’ai testé avec mes camarades le système de connexion pour voir si tout fonctionnait.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 jour-là on a testé la connexion, et en observant comment cela fonctionnait on a pu l'améliorer, la fonctionnalité permettant à l'utilisateur de reload une page sans soucis.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