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color w:val="B8892E"/>
          <w:spacing w:val="60"/>
          <w:sz w:val="16"/>
          <w:szCs w:val="16"/>
        </w:rPr>
        <w:t xml:space="preserve">CONFIDENTIAL — PREPARED FOR PROSPECTIVE INVESTORS</w:t>
      </w:r>
    </w:p>
    <w:p>
      <w:pPr>
        <w:pStyle w:val="Title"/>
      </w:pPr>
      <w:r>
        <w:t xml:space="preserve">Due Diligence Package &amp; Data Room Checklist</w:t>
      </w:r>
    </w:p>
    <w:p>
      <w:pPr>
        <w:spacing w:after="120"/>
      </w:pPr>
      <w:r>
        <w:t xml:space="preserve">Global Office — a product of Soteria AI Technologies Inc. (a Delaware C-Corporation)</w:t>
      </w:r>
    </w:p>
    <w:p>
      <w:pPr>
        <w:spacing w:after="120"/>
      </w:pPr>
      <w:r>
        <w:t xml:space="preserve">Version 1.0 · Prepared for pre-seed institutional investors</w:t>
      </w:r>
    </w:p>
    <w:p>
      <w:pPr>
        <w:pBdr>
          <w:bottom w:val="single" w:color="0B1533" w:sz="6" w:space="1"/>
        </w:pBdr>
      </w:pPr>
    </w:p>
    <w:p>
      <w:pPr>
        <w:spacing w:after="60" w:before="200"/>
      </w:pPr>
      <w:r>
        <w:rPr>
          <w:b/>
          <w:bCs/>
          <w:color w:val="B8892E"/>
          <w:spacing w:val="40"/>
          <w:sz w:val="18"/>
          <w:szCs w:val="18"/>
        </w:rPr>
        <w:t xml:space="preserve">PURPOSE</w:t>
      </w:r>
    </w:p>
    <w:p>
      <w:pPr>
        <w:spacing w:after="120"/>
      </w:pPr>
      <w:r>
        <w:t xml:space="preserve">This package documents the diligence artifacts available to qualified investors under mutual NDA. It is designed to accelerate the diligence timeline from first meeting to term sheet by consolidating corporate, product, technology, commercial, financial, legal, and people evidence in a single controlled data room.</w:t>
      </w:r>
    </w:p>
    <w:p>
      <w:pPr>
        <w:pStyle w:val="Heading1"/>
      </w:pPr>
      <w:r>
        <w:t xml:space="preserve">1. Data Room Access</w:t>
      </w:r>
    </w:p>
    <w:p>
      <w:pPr>
        <w:spacing w:after="100"/>
      </w:pPr>
      <w:r>
        <w:rPr>
          <w:b/>
          <w:bCs/>
          <w:color w:val="0B1533"/>
        </w:rPr>
        <w:t xml:space="preserve">Custodian: </w:t>
      </w:r>
      <w:r>
        <w:t xml:space="preserve">Founder &amp; CEO, Wisdom Jonathans.</w:t>
      </w:r>
    </w:p>
    <w:p>
      <w:pPr>
        <w:spacing w:after="100"/>
      </w:pPr>
      <w:r>
        <w:rPr>
          <w:b/>
          <w:bCs/>
          <w:color w:val="0B1533"/>
        </w:rPr>
        <w:t xml:space="preserve">Platform: </w:t>
      </w:r>
      <w:r>
        <w:t xml:space="preserve">Encrypted, access-logged data room (Firmex / DocSend / Google Drive with restricted domain sharing — investor's preference).</w:t>
      </w:r>
    </w:p>
    <w:p>
      <w:pPr>
        <w:spacing w:after="100"/>
      </w:pPr>
      <w:r>
        <w:rPr>
          <w:b/>
          <w:bCs/>
          <w:color w:val="0B1533"/>
        </w:rPr>
        <w:t xml:space="preserve">Access model: </w:t>
      </w:r>
      <w:r>
        <w:t xml:space="preserve">Read-only, watermarked, per-investor folder. Sensitive folders (customer contracts, source code walkthrough, cap table) are gated behind explicit signed NDA.</w:t>
      </w:r>
    </w:p>
    <w:p>
      <w:pPr>
        <w:spacing w:after="100"/>
      </w:pPr>
      <w:r>
        <w:rPr>
          <w:b/>
          <w:bCs/>
          <w:color w:val="0B1533"/>
        </w:rPr>
        <w:t xml:space="preserve">Timeline: </w:t>
      </w:r>
      <w:r>
        <w:t xml:space="preserve">Standard access provisioning within 48 hours of executed NDA.</w:t>
      </w:r>
    </w:p>
    <w:p>
      <w:pPr>
        <w:pStyle w:val="Heading1"/>
      </w:pPr>
      <w:r>
        <w:t xml:space="preserve">2. Corporate &amp; Legal</w:t>
      </w:r>
    </w:p>
    <w:p>
      <w:pPr>
        <w:pStyle w:val="Heading2"/>
      </w:pPr>
      <w:r>
        <w:t xml:space="preserve">2.1 Entity</w:t>
      </w:r>
    </w:p>
    <w:p>
      <w:pPr>
        <w:pStyle w:val="ListParagraph"/>
        <w:numPr>
          <w:ilvl w:val="0"/>
          <w:numId w:val="2"/>
        </w:numPr>
        <w:spacing w:after="80"/>
      </w:pPr>
      <w:r>
        <w:t xml:space="preserve">Certificate of incorporation — Soteria AI Technologies Inc.</w:t>
      </w:r>
    </w:p>
    <w:p>
      <w:pPr>
        <w:pStyle w:val="ListParagraph"/>
        <w:numPr>
          <w:ilvl w:val="0"/>
          <w:numId w:val="2"/>
        </w:numPr>
        <w:spacing w:after="80"/>
      </w:pPr>
      <w:r>
        <w:t xml:space="preserve">Memorandum &amp; Articles of Association</w:t>
      </w:r>
    </w:p>
    <w:p>
      <w:pPr>
        <w:pStyle w:val="ListParagraph"/>
        <w:numPr>
          <w:ilvl w:val="0"/>
          <w:numId w:val="2"/>
        </w:numPr>
        <w:spacing w:after="80"/>
      </w:pPr>
      <w:r>
        <w:t xml:space="preserve">Register of members and directors</w:t>
      </w:r>
    </w:p>
    <w:p>
      <w:pPr>
        <w:pStyle w:val="ListParagraph"/>
        <w:numPr>
          <w:ilvl w:val="0"/>
          <w:numId w:val="2"/>
        </w:numPr>
        <w:spacing w:after="80"/>
      </w:pPr>
      <w:r>
        <w:t xml:space="preserve">Tax registration certificates</w:t>
      </w:r>
    </w:p>
    <w:p>
      <w:pPr>
        <w:pStyle w:val="ListParagraph"/>
        <w:numPr>
          <w:ilvl w:val="0"/>
          <w:numId w:val="2"/>
        </w:numPr>
        <w:spacing w:after="80"/>
      </w:pPr>
      <w:r>
        <w:t xml:space="preserve">Trademarks and brand registrations — Global Office wordmark</w:t>
      </w:r>
    </w:p>
    <w:p>
      <w:pPr>
        <w:pStyle w:val="Heading2"/>
      </w:pPr>
      <w:r>
        <w:t xml:space="preserve">2.2 Governance</w:t>
      </w:r>
    </w:p>
    <w:p>
      <w:pPr>
        <w:pStyle w:val="ListParagraph"/>
        <w:numPr>
          <w:ilvl w:val="0"/>
          <w:numId w:val="2"/>
        </w:numPr>
        <w:spacing w:after="80"/>
      </w:pPr>
      <w:r>
        <w:t xml:space="preserve">Board composition and observer rights</w:t>
      </w:r>
    </w:p>
    <w:p>
      <w:pPr>
        <w:pStyle w:val="ListParagraph"/>
        <w:numPr>
          <w:ilvl w:val="0"/>
          <w:numId w:val="2"/>
        </w:numPr>
        <w:spacing w:after="80"/>
      </w:pPr>
      <w:r>
        <w:t xml:space="preserve">Shareholders' agreement (template) and side letters (if any)</w:t>
      </w:r>
    </w:p>
    <w:p>
      <w:pPr>
        <w:pStyle w:val="ListParagraph"/>
        <w:numPr>
          <w:ilvl w:val="0"/>
          <w:numId w:val="2"/>
        </w:numPr>
        <w:spacing w:after="80"/>
      </w:pPr>
      <w:r>
        <w:t xml:space="preserve">Founder vesting terms and IP assignments</w:t>
      </w:r>
    </w:p>
    <w:p>
      <w:pPr>
        <w:pStyle w:val="Heading2"/>
      </w:pPr>
      <w:r>
        <w:t xml:space="preserve">2.3 Contracts</w:t>
      </w:r>
    </w:p>
    <w:p>
      <w:pPr>
        <w:pStyle w:val="ListParagraph"/>
        <w:numPr>
          <w:ilvl w:val="0"/>
          <w:numId w:val="2"/>
        </w:numPr>
        <w:spacing w:after="80"/>
      </w:pPr>
      <w:r>
        <w:t xml:space="preserve">Standard master subscription agreement (SaaS terms)</w:t>
      </w:r>
    </w:p>
    <w:p>
      <w:pPr>
        <w:pStyle w:val="ListParagraph"/>
        <w:numPr>
          <w:ilvl w:val="0"/>
          <w:numId w:val="2"/>
        </w:numPr>
        <w:spacing w:after="80"/>
      </w:pPr>
      <w:r>
        <w:t xml:space="preserve">Standard order form and DPA</w:t>
      </w:r>
    </w:p>
    <w:p>
      <w:pPr>
        <w:pStyle w:val="ListParagraph"/>
        <w:numPr>
          <w:ilvl w:val="0"/>
          <w:numId w:val="2"/>
        </w:numPr>
        <w:spacing w:after="80"/>
      </w:pPr>
      <w:r>
        <w:t xml:space="preserve">Employment and contractor templates</w:t>
      </w:r>
    </w:p>
    <w:p>
      <w:pPr>
        <w:pStyle w:val="ListParagraph"/>
        <w:numPr>
          <w:ilvl w:val="0"/>
          <w:numId w:val="2"/>
        </w:numPr>
        <w:spacing w:after="80"/>
      </w:pPr>
      <w:r>
        <w:t xml:space="preserve">Advisor agreements with equity terms</w:t>
      </w:r>
    </w:p>
    <w:p>
      <w:pPr>
        <w:pStyle w:val="Heading1"/>
      </w:pPr>
      <w:r>
        <w:t xml:space="preserve">3. Product &amp; Technology</w:t>
      </w:r>
    </w:p>
    <w:p>
      <w:pPr>
        <w:pStyle w:val="Heading2"/>
      </w:pPr>
      <w:r>
        <w:t xml:space="preserve">3.1 Architecture</w:t>
      </w:r>
    </w:p>
    <w:p>
      <w:pPr>
        <w:pStyle w:val="ListParagraph"/>
        <w:numPr>
          <w:ilvl w:val="0"/>
          <w:numId w:val="2"/>
        </w:numPr>
        <w:spacing w:after="80"/>
      </w:pPr>
      <w:r>
        <w:t xml:space="preserve">Technical architecture overview (see: Product Strategy &amp; Technical Architecture)</w:t>
      </w:r>
    </w:p>
    <w:p>
      <w:pPr>
        <w:pStyle w:val="ListParagraph"/>
        <w:numPr>
          <w:ilvl w:val="0"/>
          <w:numId w:val="2"/>
        </w:numPr>
        <w:spacing w:after="80"/>
      </w:pPr>
      <w:r>
        <w:t xml:space="preserve">Multi-tenant isolation model and RLS policy inventory</w:t>
      </w:r>
    </w:p>
    <w:p>
      <w:pPr>
        <w:pStyle w:val="ListParagraph"/>
        <w:numPr>
          <w:ilvl w:val="0"/>
          <w:numId w:val="2"/>
        </w:numPr>
        <w:spacing w:after="80"/>
      </w:pPr>
      <w:r>
        <w:t xml:space="preserve">Data schema summary and relationship diagram</w:t>
      </w:r>
    </w:p>
    <w:p>
      <w:pPr>
        <w:pStyle w:val="ListParagraph"/>
        <w:numPr>
          <w:ilvl w:val="0"/>
          <w:numId w:val="2"/>
        </w:numPr>
        <w:spacing w:after="80"/>
      </w:pPr>
      <w:r>
        <w:t xml:space="preserve">AI model routing strategy and inference-cost controls</w:t>
      </w:r>
    </w:p>
    <w:p>
      <w:pPr>
        <w:pStyle w:val="Heading2"/>
      </w:pPr>
      <w:r>
        <w:t xml:space="preserve">3.2 Security</w:t>
      </w:r>
    </w:p>
    <w:p>
      <w:pPr>
        <w:pStyle w:val="ListParagraph"/>
        <w:numPr>
          <w:ilvl w:val="0"/>
          <w:numId w:val="2"/>
        </w:numPr>
        <w:spacing w:after="80"/>
      </w:pPr>
      <w:r>
        <w:t xml:space="preserve">Security &amp; compliance posture memo</w:t>
      </w:r>
    </w:p>
    <w:p>
      <w:pPr>
        <w:pStyle w:val="ListParagraph"/>
        <w:numPr>
          <w:ilvl w:val="0"/>
          <w:numId w:val="2"/>
        </w:numPr>
        <w:spacing w:after="80"/>
      </w:pPr>
      <w:r>
        <w:t xml:space="preserve">Penetration test plan and remediation cadence</w:t>
      </w:r>
    </w:p>
    <w:p>
      <w:pPr>
        <w:pStyle w:val="ListParagraph"/>
        <w:numPr>
          <w:ilvl w:val="0"/>
          <w:numId w:val="2"/>
        </w:numPr>
        <w:spacing w:after="80"/>
      </w:pPr>
      <w:r>
        <w:t xml:space="preserve">Encryption-at-rest and in-transit configuration</w:t>
      </w:r>
    </w:p>
    <w:p>
      <w:pPr>
        <w:pStyle w:val="ListParagraph"/>
        <w:numPr>
          <w:ilvl w:val="0"/>
          <w:numId w:val="2"/>
        </w:numPr>
        <w:spacing w:after="80"/>
      </w:pPr>
      <w:r>
        <w:t xml:space="preserve">Access control, audit logging, incident-response playbook</w:t>
      </w:r>
    </w:p>
    <w:p>
      <w:pPr>
        <w:pStyle w:val="Heading2"/>
      </w:pPr>
      <w:r>
        <w:t xml:space="preserve">3.3 Roadmap</w:t>
      </w:r>
    </w:p>
    <w:p>
      <w:pPr>
        <w:pStyle w:val="ListParagraph"/>
        <w:numPr>
          <w:ilvl w:val="0"/>
          <w:numId w:val="2"/>
        </w:numPr>
        <w:spacing w:after="80"/>
      </w:pPr>
      <w:r>
        <w:t xml:space="preserve">12-month product roadmap by module</w:t>
      </w:r>
    </w:p>
    <w:p>
      <w:pPr>
        <w:pStyle w:val="ListParagraph"/>
        <w:numPr>
          <w:ilvl w:val="0"/>
          <w:numId w:val="2"/>
        </w:numPr>
        <w:spacing w:after="80"/>
      </w:pPr>
      <w:r>
        <w:t xml:space="preserve">24-month platform roadmap</w:t>
      </w:r>
    </w:p>
    <w:p>
      <w:pPr>
        <w:pStyle w:val="ListParagraph"/>
        <w:numPr>
          <w:ilvl w:val="0"/>
          <w:numId w:val="2"/>
        </w:numPr>
        <w:spacing w:after="80"/>
      </w:pPr>
      <w:r>
        <w:t xml:space="preserve">Engineering hiring plan aligned to roadmap</w:t>
      </w:r>
    </w:p>
    <w:p>
      <w:pPr>
        <w:pStyle w:val="Heading1"/>
      </w:pPr>
      <w:r>
        <w:t xml:space="preserve">4. Commercial</w:t>
      </w:r>
    </w:p>
    <w:p>
      <w:pPr>
        <w:pStyle w:val="Heading2"/>
      </w:pPr>
      <w:r>
        <w:t xml:space="preserve">4.1 Market</w:t>
      </w:r>
    </w:p>
    <w:p>
      <w:pPr>
        <w:pStyle w:val="ListParagraph"/>
        <w:numPr>
          <w:ilvl w:val="0"/>
          <w:numId w:val="2"/>
        </w:numPr>
        <w:spacing w:after="80"/>
      </w:pPr>
      <w:r>
        <w:t xml:space="preserve">Market Research Report — TAM/SAM/SOM buildup</w:t>
      </w:r>
    </w:p>
    <w:p>
      <w:pPr>
        <w:pStyle w:val="ListParagraph"/>
        <w:numPr>
          <w:ilvl w:val="0"/>
          <w:numId w:val="2"/>
        </w:numPr>
        <w:spacing w:after="80"/>
      </w:pPr>
      <w:r>
        <w:t xml:space="preserve">Competitive Analysis Report</w:t>
      </w:r>
    </w:p>
    <w:p>
      <w:pPr>
        <w:pStyle w:val="ListParagraph"/>
        <w:numPr>
          <w:ilvl w:val="0"/>
          <w:numId w:val="2"/>
        </w:numPr>
        <w:spacing w:after="80"/>
      </w:pPr>
      <w:r>
        <w:t xml:space="preserve">ICP definition, buyer personas, and use-case library</w:t>
      </w:r>
    </w:p>
    <w:p>
      <w:pPr>
        <w:pStyle w:val="Heading2"/>
      </w:pPr>
      <w:r>
        <w:t xml:space="preserve">4.2 Go-to-market</w:t>
      </w:r>
    </w:p>
    <w:p>
      <w:pPr>
        <w:pStyle w:val="ListParagraph"/>
        <w:numPr>
          <w:ilvl w:val="0"/>
          <w:numId w:val="2"/>
        </w:numPr>
        <w:spacing w:after="80"/>
      </w:pPr>
      <w:r>
        <w:t xml:space="preserve">Pricing rate card and packaging (Free · Starter · Business · Enterprise)</w:t>
      </w:r>
    </w:p>
    <w:p>
      <w:pPr>
        <w:pStyle w:val="ListParagraph"/>
        <w:numPr>
          <w:ilvl w:val="0"/>
          <w:numId w:val="2"/>
        </w:numPr>
        <w:spacing w:after="80"/>
      </w:pPr>
      <w:r>
        <w:t xml:space="preserve">Sales motion (PLG + assisted mid-market)</w:t>
      </w:r>
    </w:p>
    <w:p>
      <w:pPr>
        <w:pStyle w:val="ListParagraph"/>
        <w:numPr>
          <w:ilvl w:val="0"/>
          <w:numId w:val="2"/>
        </w:numPr>
        <w:spacing w:after="80"/>
      </w:pPr>
      <w:r>
        <w:t xml:space="preserve">Channel and partnership strategy</w:t>
      </w:r>
    </w:p>
    <w:p>
      <w:pPr>
        <w:pStyle w:val="ListParagraph"/>
        <w:numPr>
          <w:ilvl w:val="0"/>
          <w:numId w:val="2"/>
        </w:numPr>
        <w:spacing w:after="80"/>
      </w:pPr>
      <w:r>
        <w:t xml:space="preserve">Design-partner target list and conversion criteria</w:t>
      </w:r>
    </w:p>
    <w:p>
      <w:pPr>
        <w:pStyle w:val="Heading2"/>
      </w:pPr>
      <w:r>
        <w:t xml:space="preserve">4.3 Traction (as of data room date)</w:t>
      </w:r>
    </w:p>
    <w:p>
      <w:pPr>
        <w:pStyle w:val="ListParagraph"/>
        <w:numPr>
          <w:ilvl w:val="0"/>
          <w:numId w:val="2"/>
        </w:numPr>
        <w:spacing w:after="80"/>
      </w:pPr>
      <w:r>
        <w:t xml:space="preserve">Product readiness: 20 integrated modules built</w:t>
      </w:r>
    </w:p>
    <w:p>
      <w:pPr>
        <w:pStyle w:val="ListParagraph"/>
        <w:numPr>
          <w:ilvl w:val="0"/>
          <w:numId w:val="2"/>
        </w:numPr>
        <w:spacing w:after="80"/>
      </w:pPr>
      <w:r>
        <w:t xml:space="preserve">Pre-launch waitlist and pilot conversations (documented under NDA)</w:t>
      </w:r>
    </w:p>
    <w:p>
      <w:pPr>
        <w:pStyle w:val="ListParagraph"/>
        <w:numPr>
          <w:ilvl w:val="0"/>
          <w:numId w:val="2"/>
        </w:numPr>
        <w:spacing w:after="80"/>
      </w:pPr>
      <w:r>
        <w:t xml:space="preserve">Design-partner pipeline and expected first-revenue timing</w:t>
      </w:r>
    </w:p>
    <w:p>
      <w:pPr>
        <w:pStyle w:val="Heading1"/>
      </w:pPr>
      <w:r>
        <w:t xml:space="preserve">5. Financial</w:t>
      </w:r>
    </w:p>
    <w:p>
      <w:pPr>
        <w:pStyle w:val="ListParagraph"/>
        <w:numPr>
          <w:ilvl w:val="0"/>
          <w:numId w:val="2"/>
        </w:numPr>
        <w:spacing w:after="80"/>
      </w:pPr>
      <w:r>
        <w:t xml:space="preserve">Three-year financial model (XLSX) — Bear / Base / Bull</w:t>
      </w:r>
    </w:p>
    <w:p>
      <w:pPr>
        <w:pStyle w:val="ListParagraph"/>
        <w:numPr>
          <w:ilvl w:val="0"/>
          <w:numId w:val="2"/>
        </w:numPr>
        <w:spacing w:after="80"/>
      </w:pPr>
      <w:r>
        <w:t xml:space="preserve">Unit economics — CAC, LTV, payback, gross margin, NRR</w:t>
      </w:r>
    </w:p>
    <w:p>
      <w:pPr>
        <w:pStyle w:val="ListParagraph"/>
        <w:numPr>
          <w:ilvl w:val="0"/>
          <w:numId w:val="2"/>
        </w:numPr>
        <w:spacing w:after="80"/>
      </w:pPr>
      <w:r>
        <w:t xml:space="preserve">Use-of-funds detailed schedule</w:t>
      </w:r>
    </w:p>
    <w:p>
      <w:pPr>
        <w:pStyle w:val="ListParagraph"/>
        <w:numPr>
          <w:ilvl w:val="0"/>
          <w:numId w:val="2"/>
        </w:numPr>
        <w:spacing w:after="80"/>
      </w:pPr>
      <w:r>
        <w:t xml:space="preserve">Cash-flow forecast and monthly burn plan</w:t>
      </w:r>
    </w:p>
    <w:p>
      <w:pPr>
        <w:pStyle w:val="ListParagraph"/>
        <w:numPr>
          <w:ilvl w:val="0"/>
          <w:numId w:val="2"/>
        </w:numPr>
        <w:spacing w:after="80"/>
      </w:pPr>
      <w:r>
        <w:t xml:space="preserve">Bank statements and treasury policy</w:t>
      </w:r>
    </w:p>
    <w:p>
      <w:pPr>
        <w:pStyle w:val="ListParagraph"/>
        <w:numPr>
          <w:ilvl w:val="0"/>
          <w:numId w:val="2"/>
        </w:numPr>
        <w:spacing w:after="80"/>
      </w:pPr>
      <w:r>
        <w:t xml:space="preserve">Cap table (pre-money, post-money, fully diluted)</w:t>
      </w:r>
    </w:p>
    <w:p>
      <w:pPr>
        <w:pStyle w:val="Heading1"/>
      </w:pPr>
      <w:r>
        <w:t xml:space="preserve">6. People</w:t>
      </w:r>
    </w:p>
    <w:p>
      <w:pPr>
        <w:pStyle w:val="ListParagraph"/>
        <w:numPr>
          <w:ilvl w:val="0"/>
          <w:numId w:val="2"/>
        </w:numPr>
        <w:spacing w:after="80"/>
      </w:pPr>
      <w:r>
        <w:t xml:space="preserve">Founder bio and prior work history</w:t>
      </w:r>
    </w:p>
    <w:p>
      <w:pPr>
        <w:pStyle w:val="ListParagraph"/>
        <w:numPr>
          <w:ilvl w:val="0"/>
          <w:numId w:val="2"/>
        </w:numPr>
        <w:spacing w:after="80"/>
      </w:pPr>
      <w:r>
        <w:t xml:space="preserve">Founding-team hiring plan (roles, timing, comp bands, equity)</w:t>
      </w:r>
    </w:p>
    <w:p>
      <w:pPr>
        <w:pStyle w:val="ListParagraph"/>
        <w:numPr>
          <w:ilvl w:val="0"/>
          <w:numId w:val="2"/>
        </w:numPr>
        <w:spacing w:after="80"/>
      </w:pPr>
      <w:r>
        <w:t xml:space="preserve">Advisor bench and mandates</w:t>
      </w:r>
    </w:p>
    <w:p>
      <w:pPr>
        <w:pStyle w:val="ListParagraph"/>
        <w:numPr>
          <w:ilvl w:val="0"/>
          <w:numId w:val="2"/>
        </w:numPr>
        <w:spacing w:after="80"/>
      </w:pPr>
      <w:r>
        <w:t xml:space="preserve">Culture and operating principles memo</w:t>
      </w:r>
    </w:p>
    <w:p>
      <w:pPr>
        <w:pStyle w:val="Heading1"/>
      </w:pPr>
      <w:r>
        <w:t xml:space="preserve">7. Risk &amp; Compliance</w:t>
      </w:r>
    </w:p>
    <w:p>
      <w:pPr>
        <w:pStyle w:val="ListParagraph"/>
        <w:numPr>
          <w:ilvl w:val="0"/>
          <w:numId w:val="2"/>
        </w:numPr>
        <w:spacing w:after="80"/>
      </w:pPr>
      <w:r>
        <w:t xml:space="preserve">Risk register (product, market, execution, capital, regulatory, talent)</w:t>
      </w:r>
    </w:p>
    <w:p>
      <w:pPr>
        <w:pStyle w:val="ListParagraph"/>
        <w:numPr>
          <w:ilvl w:val="0"/>
          <w:numId w:val="2"/>
        </w:numPr>
        <w:spacing w:after="80"/>
      </w:pPr>
      <w:r>
        <w:t xml:space="preserve">NDPR / GDPR readiness statement</w:t>
      </w:r>
    </w:p>
    <w:p>
      <w:pPr>
        <w:pStyle w:val="ListParagraph"/>
        <w:numPr>
          <w:ilvl w:val="0"/>
          <w:numId w:val="2"/>
        </w:numPr>
        <w:spacing w:after="80"/>
      </w:pPr>
      <w:r>
        <w:t xml:space="preserve">Cybersecurity readiness statement</w:t>
      </w:r>
    </w:p>
    <w:p>
      <w:pPr>
        <w:pStyle w:val="ListParagraph"/>
        <w:numPr>
          <w:ilvl w:val="0"/>
          <w:numId w:val="2"/>
        </w:numPr>
        <w:spacing w:after="80"/>
      </w:pPr>
      <w:r>
        <w:t xml:space="preserve">Business continuity and disaster-recovery plan</w:t>
      </w:r>
    </w:p>
    <w:p>
      <w:pPr>
        <w:pStyle w:val="Heading1"/>
      </w:pPr>
      <w:r>
        <w:t xml:space="preserve">8. Diligence Timeline (indicative)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400"/>
      </w:tblGrid>
      <w:tr>
        <w:tc>
          <w:tcPr>
            <w:tcW w:type="dxa" w:w="1800"/>
            <w:tcBorders>
              <w:top w:val="single" w:color="CCCCCC" w:sz="6"/>
              <w:left w:val="single" w:color="CCCCCC" w:sz="6"/>
              <w:bottom w:val="single" w:color="CCCCCC" w:sz="6"/>
              <w:right w:val="single" w:color="CCCCCC" w:sz="6"/>
            </w:tcBorders>
            <w:shd w:fill="0B1533" w:val="clear"/>
            <w:tcMar>
              <w:top w:type="dxa" w:w="100"/>
              <w:left w:type="dxa" w:w="140"/>
              <w:bottom w:type="dxa" w:w="100"/>
              <w:right w:type="dxa" w:w="140"/>
            </w:tcMar>
          </w:tcPr>
          <w:p>
            <w:r>
              <w:rPr>
                <w:b/>
                <w:bCs/>
                <w:color w:val="FFFFFF"/>
                <w:sz w:val="20"/>
                <w:szCs w:val="20"/>
              </w:rPr>
              <w:t xml:space="preserve">Stage</w:t>
            </w:r>
          </w:p>
        </w:tc>
        <w:tc>
          <w:tcPr>
            <w:tcW w:type="dxa" w:w="5000"/>
            <w:tcBorders>
              <w:top w:val="single" w:color="CCCCCC" w:sz="6"/>
              <w:left w:val="single" w:color="CCCCCC" w:sz="6"/>
              <w:bottom w:val="single" w:color="CCCCCC" w:sz="6"/>
              <w:right w:val="single" w:color="CCCCCC" w:sz="6"/>
            </w:tcBorders>
            <w:shd w:fill="0B1533" w:val="clear"/>
            <w:tcMar>
              <w:top w:type="dxa" w:w="100"/>
              <w:left w:type="dxa" w:w="140"/>
              <w:bottom w:type="dxa" w:w="100"/>
              <w:right w:type="dxa" w:w="140"/>
            </w:tcMar>
          </w:tcPr>
          <w:p>
            <w:r>
              <w:rPr>
                <w:b/>
                <w:bCs/>
                <w:color w:val="FFFFFF"/>
                <w:sz w:val="20"/>
                <w:szCs w:val="20"/>
              </w:rPr>
              <w:t xml:space="preserve">Activity</w:t>
            </w:r>
          </w:p>
        </w:tc>
        <w:tc>
          <w:tcPr>
            <w:tcW w:type="dxa" w:w="2400"/>
            <w:tcBorders>
              <w:top w:val="single" w:color="CCCCCC" w:sz="6"/>
              <w:left w:val="single" w:color="CCCCCC" w:sz="6"/>
              <w:bottom w:val="single" w:color="CCCCCC" w:sz="6"/>
              <w:right w:val="single" w:color="CCCCCC" w:sz="6"/>
            </w:tcBorders>
            <w:shd w:fill="0B1533" w:val="clear"/>
            <w:tcMar>
              <w:top w:type="dxa" w:w="100"/>
              <w:left w:type="dxa" w:w="140"/>
              <w:bottom w:type="dxa" w:w="100"/>
              <w:right w:type="dxa" w:w="140"/>
            </w:tcMar>
          </w:tcPr>
          <w:p>
            <w:r>
              <w:rPr>
                <w:b/>
                <w:bCs/>
                <w:color w:val="FFFFFF"/>
                <w:sz w:val="20"/>
                <w:szCs w:val="20"/>
              </w:rPr>
              <w:t xml:space="preserve">Timing</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Week 0</w:t>
            </w:r>
          </w:p>
        </w:tc>
        <w:tc>
          <w:tcPr>
            <w:tcW w:type="dxa" w:w="5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Intro call, teaser deck, high-level Q&amp;A</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T</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Week 1</w:t>
            </w:r>
          </w:p>
        </w:tc>
        <w:tc>
          <w:tcPr>
            <w:tcW w:type="dxa" w:w="5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NDA executed, data room access provisioned</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T+3d</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Week 1–2</w:t>
            </w:r>
          </w:p>
        </w:tc>
        <w:tc>
          <w:tcPr>
            <w:tcW w:type="dxa" w:w="5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Product demo, architecture walkthrough, model review</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T+7d</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Week 2–3</w:t>
            </w:r>
          </w:p>
        </w:tc>
        <w:tc>
          <w:tcPr>
            <w:tcW w:type="dxa" w:w="5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Reference calls (customer, advisor, technical)</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T+14d</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Week 3–4</w:t>
            </w:r>
          </w:p>
        </w:tc>
        <w:tc>
          <w:tcPr>
            <w:tcW w:type="dxa" w:w="5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Legal &amp; financial confirmatory diligence</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T+21d</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Week 4</w:t>
            </w:r>
          </w:p>
        </w:tc>
        <w:tc>
          <w:tcPr>
            <w:tcW w:type="dxa" w:w="5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Term sheet negotiation and signing</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color w:val="0B1533"/>
                <w:sz w:val="20"/>
                <w:szCs w:val="20"/>
              </w:rPr>
              <w:t xml:space="preserve">T+28d</w:t>
            </w:r>
          </w:p>
        </w:tc>
      </w:tr>
    </w:tbl>
    <w:p>
      <w:pPr>
        <w:pStyle w:val="Heading1"/>
      </w:pPr>
      <w:r>
        <w:t xml:space="preserve">9. Reference Calls (available on request)</w:t>
      </w:r>
    </w:p>
    <w:p>
      <w:pPr>
        <w:pStyle w:val="ListParagraph"/>
        <w:numPr>
          <w:ilvl w:val="0"/>
          <w:numId w:val="2"/>
        </w:numPr>
        <w:spacing w:after="80"/>
      </w:pPr>
      <w:r>
        <w:t xml:space="preserve">Prior collaborators from Elevate AI engagements</w:t>
      </w:r>
    </w:p>
    <w:p>
      <w:pPr>
        <w:pStyle w:val="ListParagraph"/>
        <w:numPr>
          <w:ilvl w:val="0"/>
          <w:numId w:val="2"/>
        </w:numPr>
        <w:spacing w:after="80"/>
      </w:pPr>
      <w:r>
        <w:t xml:space="preserve">Design partners under active discussion (subject to their consent)</w:t>
      </w:r>
    </w:p>
    <w:p>
      <w:pPr>
        <w:pStyle w:val="ListParagraph"/>
        <w:numPr>
          <w:ilvl w:val="0"/>
          <w:numId w:val="2"/>
        </w:numPr>
        <w:spacing w:after="80"/>
      </w:pPr>
      <w:r>
        <w:t xml:space="preserve">Technical advisors on AI infrastructure and multi-tenant SaaS</w:t>
      </w:r>
    </w:p>
    <w:p>
      <w:pPr>
        <w:pStyle w:val="ListParagraph"/>
        <w:numPr>
          <w:ilvl w:val="0"/>
          <w:numId w:val="2"/>
        </w:numPr>
        <w:spacing w:after="80"/>
      </w:pPr>
      <w:r>
        <w:t xml:space="preserve">Governance references from prior board roles</w:t>
      </w:r>
    </w:p>
    <w:p>
      <w:pPr>
        <w:pStyle w:val="Heading1"/>
      </w:pPr>
      <w:r>
        <w:t xml:space="preserve">10. Founder Direct Line</w:t>
      </w:r>
    </w:p>
    <w:p>
      <w:pPr>
        <w:spacing w:after="120"/>
      </w:pPr>
      <w:r>
        <w:t xml:space="preserve">For access, questions, or scheduling: contact Wisdom Jonathans directly through the channel provided in the introduction email. All diligence requests are answered within one business day.</w:t>
      </w:r>
    </w:p>
    <w:p>
      <w:pPr>
        <w:pBdr>
          <w:bottom w:val="single" w:color="0B1533" w:sz="6" w:space="1"/>
        </w:pBdr>
      </w:pPr>
    </w:p>
    <w:p>
      <w:pPr>
        <w:spacing w:after="120"/>
      </w:pPr>
      <w:r>
        <w:t xml:space="preserve">This document does not constitute an offer to sell securities. All materials are strategic representations of a pre-launch venture and are subject to negotiation.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Global Office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0B1533"/>
      <w:sz w:val="44"/>
      <w:szCs w:val="44"/>
    </w:rPr>
  </w:style>
  <w:style w:type="paragraph" w:styleId="Heading1">
    <w:name w:val="Heading 1"/>
    <w:basedOn w:val="Normal"/>
    <w:next w:val="Normal"/>
    <w:qFormat/>
    <w:pPr>
      <w:spacing w:after="180" w:before="360"/>
      <w:outlineLvl w:val="0"/>
    </w:pPr>
    <w:rPr>
      <w:rFonts w:ascii="Arial" w:cs="Arial" w:eastAsia="Arial" w:hAnsi="Arial"/>
      <w:b/>
      <w:bCs/>
      <w:color w:val="0B1533"/>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B15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B889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2026-07-15T08:31:05.514Z</dcterms:created>
  <dcterms:modified xsi:type="dcterms:W3CDTF">2026-07-15T08:31:05.514Z</dcterms:modified>
</cp:coreProperties>
</file>

<file path=docProps/custom.xml><?xml version="1.0" encoding="utf-8"?>
<Properties xmlns="http://schemas.openxmlformats.org/officeDocument/2006/custom-properties" xmlns:vt="http://schemas.openxmlformats.org/officeDocument/2006/docPropsVTypes"/>
</file>