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rPr>
          <w:b/>
          <w:bCs/>
          <w:color w:val="B08A3F"/>
          <w:sz w:val="18"/>
          <w:szCs w:val="18"/>
        </w:rPr>
        <w:t xml:space="preserve">SOTERIA AI TECHNOLOGIES LIMITED</w:t>
      </w:r>
    </w:p>
    <w:p>
      <w:pPr>
        <w:spacing w:after="80"/>
        <w:jc w:val="center"/>
      </w:pPr>
      <w:r>
        <w:rPr>
          <w:b/>
          <w:bCs/>
          <w:color w:val="0B1533"/>
          <w:sz w:val="60"/>
          <w:szCs w:val="60"/>
        </w:rPr>
        <w:t xml:space="preserve">Global Office</w:t>
      </w:r>
    </w:p>
    <w:p>
      <w:pPr>
        <w:spacing w:after="200"/>
        <w:jc w:val="center"/>
      </w:pPr>
      <w:r>
        <w:rPr>
          <w:i/>
          <w:iCs/>
          <w:color w:val="0B1533"/>
          <w:sz w:val="32"/>
          <w:szCs w:val="32"/>
        </w:rPr>
        <w:t xml:space="preserve">Investor Deck — Speaker Notes</w:t>
      </w:r>
    </w:p>
    <w:p>
      <w:pPr>
        <w:spacing w:after="400"/>
        <w:jc w:val="center"/>
      </w:pPr>
      <w:r>
        <w:rPr>
          <w:color w:val="666666"/>
          <w:sz w:val="18"/>
          <w:szCs w:val="18"/>
        </w:rPr>
        <w:t xml:space="preserve">Confidential  ·  2026</w:t>
      </w:r>
    </w:p>
    <w:p>
      <w:pPr>
        <w:spacing w:after="140"/>
        <w:jc w:val="left"/>
      </w:pPr>
      <w:r>
        <w:rPr>
          <w:i/>
          <w:iCs/>
          <w:sz w:val="22"/>
          <w:szCs w:val="22"/>
        </w:rPr>
        <w:t xml:space="preserve">These notes accompany the 22-slide investor deck. Each entry is written to be read verbatim or paraphrased naturally. Delivery targets: 45–60 seconds per slide for a 20-minute pitch; 20–30 seconds for a 10-minute pitch; skip Slides 6, 13, 18, 19 for the 5-minute pitch.</w:t>
      </w:r>
    </w:p>
    <w:p>
      <w:r>
        <w:br w:type="page"/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01 — Cover</w:t>
      </w:r>
    </w:p>
    <w:p>
      <w:pPr>
        <w:spacing w:after="140"/>
        <w:jc w:val="left"/>
      </w:pPr>
      <w:r>
        <w:rPr>
          <w:sz w:val="22"/>
          <w:szCs w:val="22"/>
        </w:rPr>
        <w:t xml:space="preserve">Opening. Introduce yourself: Wisdom Jonathans, Founder &amp; CEO of Soteria AI Technologies. We're building Global Office — the operating system for the next generation of businesses in emerging markets. This deck is a pre-seed investment opportunity for a $1.5M round. Set the tone: institutional, evidence-based, ambitious. Pause 3 seconds after the cover.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02 — Thesis</w:t>
      </w:r>
    </w:p>
    <w:p>
      <w:pPr>
        <w:spacing w:after="140"/>
        <w:jc w:val="left"/>
      </w:pPr>
      <w:r>
        <w:rPr>
          <w:sz w:val="22"/>
          <w:szCs w:val="22"/>
        </w:rPr>
        <w:t xml:space="preserve">The one-sentence thesis. Read slowly. Small and mid-sized enterprises are the economic backbone of emerging markets, yet they operate on fragmented, imported software that was never designed for them. Global Office consolidates the entire operational stack — attendance, execution, communication, HR, finance, intelligence — into one AI-native platform, priced and engineered for how these businesses actually run. Emphasize the words "AI-native" and "one platform."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03 — Why Now</w:t>
      </w:r>
    </w:p>
    <w:p>
      <w:pPr>
        <w:spacing w:after="140"/>
        <w:jc w:val="left"/>
      </w:pPr>
      <w:r>
        <w:rPr>
          <w:sz w:val="22"/>
          <w:szCs w:val="22"/>
        </w:rPr>
        <w:t xml:space="preserve">Three concurrent shifts create the window. (1) Africa's digital economy is projected at $712B by 2050 — GSMA, Endeavor. (2) Generative AI has collapsed the cost of building enterprise workflows by an order of magnitude — Stanford AI Index 2024. (3) SME cloud adoption in SSA grew ~34% CAGR 2020–2024 — IFC, Partech Africa. The result: for the first time, it is economically viable to build one AI-native platform for this market. Windows like this open once per decade.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04 — Problem</w:t>
      </w:r>
    </w:p>
    <w:p>
      <w:pPr>
        <w:spacing w:after="140"/>
        <w:jc w:val="left"/>
      </w:pPr>
      <w:r>
        <w:rPr>
          <w:sz w:val="22"/>
          <w:szCs w:val="22"/>
        </w:rPr>
        <w:t xml:space="preserve">The problem is not "SMEs need software." SMEs already use 8–12 tools. The problem is fragmentation. Every emerging-market SME runs on a Frankenstein stack of WhatsApp, Excel, Google Sheets, a locally-hosted HR tool, a foreign accounting tool priced in USD, and paper. Nothing talks to each other. Owners spend 40%+ of their week reconciling data across tools instead of running the business. This is not a UX problem; it is a structural problem.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05 — Solution</w:t>
      </w:r>
    </w:p>
    <w:p>
      <w:pPr>
        <w:spacing w:after="140"/>
        <w:jc w:val="left"/>
      </w:pPr>
      <w:r>
        <w:rPr>
          <w:sz w:val="22"/>
          <w:szCs w:val="22"/>
        </w:rPr>
        <w:t xml:space="preserve">Global Office is one platform, one login, one data model, spanning attendance, execution, communication, HR, finance, and intelligence. It is AI-native — meaning intelligence is not a feature bolted on; it is the substrate. The system observes work, learns patterns, and surfaces decisions. Think of it as the operating system for a mid-market business, priced and localized for the markets it serves.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06 — Category — AI-BOS</w:t>
      </w:r>
    </w:p>
    <w:p>
      <w:pPr>
        <w:spacing w:after="140"/>
        <w:jc w:val="left"/>
      </w:pPr>
      <w:r>
        <w:rPr>
          <w:sz w:val="22"/>
          <w:szCs w:val="22"/>
        </w:rPr>
        <w:t xml:space="preserve">We are defining a new category: the AI-Native Business Operating System, or AI-BOS. This is different from a CRM (Salesforce), an ERP (SAP/NetSuite), or a work OS (Monday, ClickUp). Those are horizontal tools with AI features. AI-BOS is a vertical, unified system where AI is the substrate — it observes, interprets, and orchestrates work across every function. Categories are how enterprise software wins: Salesforce created CRM, ServiceNow created ITSM. We are creating AI-BOS.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07 — Product &amp; Architecture</w:t>
      </w:r>
    </w:p>
    <w:p>
      <w:pPr>
        <w:spacing w:after="140"/>
        <w:jc w:val="left"/>
      </w:pPr>
      <w:r>
        <w:rPr>
          <w:sz w:val="22"/>
          <w:szCs w:val="22"/>
        </w:rPr>
        <w:t xml:space="preserve">Architecturally, Global Office is a multi-tenant platform with strict organizational isolation, a unified event bus, and an intelligence layer that sits above all modules. Every action becomes an event; every event feeds the AI layer, which produces insights, alerts, and recommendations back into the modules. This is what makes AI-native different from AI-added.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08 — Market</w:t>
      </w:r>
    </w:p>
    <w:p>
      <w:pPr>
        <w:spacing w:after="140"/>
        <w:jc w:val="left"/>
      </w:pPr>
      <w:r>
        <w:rPr>
          <w:sz w:val="22"/>
          <w:szCs w:val="22"/>
        </w:rPr>
        <w:t xml:space="preserve">Market sizing, bottom-up. TAM: global SME software spend is $250B+ by 2027 per Gartner and IDC. SAM: Sub-Saharan African + adjacent emerging market SME software is estimated at $18–24B by 2030, based on ~50M formal SMEs and per-org spend benchmarks (IFC, Endeavor, Partech). SOM: capturing 0.5% of SAM in 5 years is $90–120M ARR — a credible, evidence-based path. These are ranges, not point estimates, because we refuse to fabricate precision.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09 — Competition &amp; White Space</w:t>
      </w:r>
    </w:p>
    <w:p>
      <w:pPr>
        <w:spacing w:after="140"/>
        <w:jc w:val="left"/>
      </w:pPr>
      <w:r>
        <w:rPr>
          <w:sz w:val="22"/>
          <w:szCs w:val="22"/>
        </w:rPr>
        <w:t xml:space="preserve">Competitive landscape mapped on two axes: horizontal breadth versus intelligence depth. Microsoft 365, Google Workspace — broad but shallow, priced for OECD. NetSuite, SAP — deep but ERP-heavy, IT-led, 12+ month deploys. Monday, ClickUp, Notion — horizontal work OS, AI features bolted on. Zoho — broad but fragmented UX, weak AI. The white space is upper-right: unified breadth plus AI-native intelligence, engineered for emerging-market SMEs. That is Global Office.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10 — Business Model</w:t>
      </w:r>
    </w:p>
    <w:p>
      <w:pPr>
        <w:spacing w:after="140"/>
        <w:jc w:val="left"/>
      </w:pPr>
      <w:r>
        <w:rPr>
          <w:sz w:val="22"/>
          <w:szCs w:val="22"/>
        </w:rPr>
        <w:t xml:space="preserve">Business model is per-organization SaaS with three tiers: Starter, Growth, Scale, priced in local currency to remove FX friction. AI credits meter compute-intensive features so cost scales with value. Expected gross margins in the 75–82% range consistent with vertical SaaS benchmarks — this is a range, not a claim. Enterprise editions and partner channels unlock the upper end of the market from year three onward.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11 — Go-to-Market</w:t>
      </w:r>
    </w:p>
    <w:p>
      <w:pPr>
        <w:spacing w:after="140"/>
        <w:jc w:val="left"/>
      </w:pPr>
      <w:r>
        <w:rPr>
          <w:sz w:val="22"/>
          <w:szCs w:val="22"/>
        </w:rPr>
        <w:t xml:space="preserve">GTM is sequenced. Wedge: 20–200 person SMEs in Lagos, Nairobi, Accra, Cairo, Johannesburg. Motion: founder-led sales + product-led onboarding + partner channels (business associations, accounting firms, HR consultancies). Year 2 opens mid-market. Year 3 opens enterprise editions and vertical channels (education, healthcare, hospitality, government).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12 — Stage &amp; Signals</w:t>
      </w:r>
    </w:p>
    <w:p>
      <w:pPr>
        <w:spacing w:after="140"/>
        <w:jc w:val="left"/>
      </w:pPr>
      <w:r>
        <w:rPr>
          <w:sz w:val="22"/>
          <w:szCs w:val="22"/>
        </w:rPr>
        <w:t xml:space="preserve">Honest posture. We are pre-seed, pre-launch. What we have: (1) full working platform architected and shipped — not a prototype; (2) founder–market fit — I am building for the market I come from; (3) design partner conversations underway. What we do not have and will not fabricate: paid ARR, retention cohorts, LOIs at scale. The purpose of this round is to convert product-readiness into signed pilots and retention data in the next 9 months.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13 — Defensibility</w:t>
      </w:r>
    </w:p>
    <w:p>
      <w:pPr>
        <w:spacing w:after="140"/>
        <w:jc w:val="left"/>
      </w:pPr>
      <w:r>
        <w:rPr>
          <w:sz w:val="22"/>
          <w:szCs w:val="22"/>
        </w:rPr>
        <w:t xml:space="preserve">Four compounding moats. (1) Data flywheel: every organization's activity feeds an intelligence layer that becomes more useful the more orgs are on it. (2) Workflow lock-in: unlike a point tool, an OS is where the work lives. (3) Local distribution: partner channels that global incumbents cannot replicate cheaply. (4) Compliance capital: NDPR/GDPR-ready architecture is a barrier for latecomers in regulated segments like HR, finance, health.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14 — Financial Framework</w:t>
      </w:r>
    </w:p>
    <w:p>
      <w:pPr>
        <w:spacing w:after="140"/>
        <w:jc w:val="left"/>
      </w:pPr>
      <w:r>
        <w:rPr>
          <w:sz w:val="22"/>
          <w:szCs w:val="22"/>
        </w:rPr>
        <w:t xml:space="preserve">Financial framework, not fabricated forecast. Ranges are strategic assumptions to be validated in pilots. Blended ARPO $2.4K–$4.2K/yr. Gross margin 75–82%. CAC payback 10–14 months at Growth tier. Year 5 modeled scenarios: conservative $18M ARR, base $42M, upside $95M. All numbers will be re-baselined against pilot data before Series A. We show the math, not fiction.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15 — Team</w:t>
      </w:r>
    </w:p>
    <w:p>
      <w:pPr>
        <w:spacing w:after="140"/>
        <w:jc w:val="left"/>
      </w:pPr>
      <w:r>
        <w:rPr>
          <w:sz w:val="22"/>
          <w:szCs w:val="22"/>
        </w:rPr>
        <w:t xml:space="preserve">Founder–market fit is the single strongest signal at pre-seed. I am Wisdom Jonathans, Nigerian entrepreneur, AI systems strategist, technology founder. I have built AI-powered products across business operations. I am building Global Office because I lived the pain — running organizations in this market with tools built for another one. Key hires post-round: VP Engineering (Lagos/Nairobi), Head of Growth, Design Partner Lead.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16 — The Ask</w:t>
      </w:r>
    </w:p>
    <w:p>
      <w:pPr>
        <w:spacing w:after="140"/>
        <w:jc w:val="left"/>
      </w:pPr>
      <w:r>
        <w:rPr>
          <w:sz w:val="22"/>
          <w:szCs w:val="22"/>
        </w:rPr>
        <w:t xml:space="preserve">We are raising $1.5M pre-seed on a SAFE. Use of funds: 55% engineering and product to deepen the AI layer and ship two verticals; 25% go-to-market to run 30–50 design partner pilots across the five anchor cities; 12% compliance and security certifications; 8% general and administrative. This capital carries the company through the milestones on the next slide — enough evidence to open a $6–10M Series A in 18–24 months.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17 — 18–24 Month Milestones</w:t>
      </w:r>
    </w:p>
    <w:p>
      <w:pPr>
        <w:spacing w:after="140"/>
        <w:jc w:val="left"/>
      </w:pPr>
      <w:r>
        <w:rPr>
          <w:sz w:val="22"/>
          <w:szCs w:val="22"/>
        </w:rPr>
        <w:t xml:space="preserve">Falsifiable milestones — the ones that unlock Series A. Month 6: 20 signed design partners across three cities. Month 12: first $500K–$1M ARR, cohort retention data, two verticals shipped. Month 18: $2M+ ARR, NRR above 110%, first enterprise reference, SOC 2 Type I. Month 24: Series A ready.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18 — Risks &amp; Mitigations</w:t>
      </w:r>
    </w:p>
    <w:p>
      <w:pPr>
        <w:spacing w:after="140"/>
        <w:jc w:val="left"/>
      </w:pPr>
      <w:r>
        <w:rPr>
          <w:sz w:val="22"/>
          <w:szCs w:val="22"/>
        </w:rPr>
        <w:t xml:space="preserve">A pre-seed deck that avoids risks is a red flag. Four categories: market timing, competitive response, execution capacity, macro/FX. For each, we state the risk and the specific mitigation. Investors want to see we have thought about what can kill the company.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19 — Exit Landscape</w:t>
      </w:r>
    </w:p>
    <w:p>
      <w:pPr>
        <w:spacing w:after="140"/>
        <w:jc w:val="left"/>
      </w:pPr>
      <w:r>
        <w:rPr>
          <w:sz w:val="22"/>
          <w:szCs w:val="22"/>
        </w:rPr>
        <w:t xml:space="preserve">Exit optionality is real. Strategic acquirers: Microsoft, Google, SAP, Zoho, Freshworks — all actively acquiring emerging-market SaaS. IPO precedents: MTN, Interswitch, Jumia. DFI-backed exits: growing. We are not pitching a lifestyle business; we are pitching a category winner.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20 — Governance &amp; Compliance</w:t>
      </w:r>
    </w:p>
    <w:p>
      <w:pPr>
        <w:spacing w:after="140"/>
        <w:jc w:val="left"/>
      </w:pPr>
      <w:r>
        <w:rPr>
          <w:sz w:val="22"/>
          <w:szCs w:val="22"/>
        </w:rPr>
        <w:t xml:space="preserve">Governance signals for a $10M+ check. Clean cap table. Delaware/UK holdco under evaluation. IP fully owned by Soteria AI Technologies Inc. (a Delaware C-Corporation). NDPR/GDPR by design. SOC 2 Type I on the roadmap. No undisclosed liabilities. Data room ready.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21 — Vision</w:t>
      </w:r>
    </w:p>
    <w:p>
      <w:pPr>
        <w:spacing w:after="140"/>
        <w:jc w:val="left"/>
      </w:pPr>
      <w:r>
        <w:rPr>
          <w:sz w:val="22"/>
          <w:szCs w:val="22"/>
        </w:rPr>
        <w:t xml:space="preserve">The vision. In ten years, Global Office is to emerging-market enterprises what Microsoft 365 became to OECD enterprises — the default operating layer. But engineered differently: AI-native from the substrate, priced for the market it serves, distributed through networks the incumbents cannot access. Category-defining companies do not emerge often. This is one of them.</w:t>
      </w:r>
    </w:p>
    <w:p>
      <w:pPr>
        <w:pStyle w:val="Heading2"/>
        <w:spacing w:after="160" w:before="240"/>
      </w:pPr>
      <w:r>
        <w:rPr>
          <w:b/>
          <w:bCs/>
          <w:color w:val="0B1533"/>
          <w:sz w:val="30"/>
          <w:szCs w:val="30"/>
        </w:rPr>
        <w:t xml:space="preserve">Slide 22 — Contact</w:t>
      </w:r>
    </w:p>
    <w:p>
      <w:pPr>
        <w:spacing w:after="140"/>
        <w:jc w:val="left"/>
      </w:pPr>
      <w:r>
        <w:rPr>
          <w:sz w:val="22"/>
          <w:szCs w:val="22"/>
        </w:rPr>
        <w:t xml:space="preserve">Close. Thank them. Offer the next step: 45-minute product walkthrough, data room access, reference calls with design partners. Ask for the meeting, not for the check.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Office — Investor Deck Speaker Notes</dc:title>
  <dc:creator>Soteria AI Technologies Inc.</dc:creator>
  <cp:lastModifiedBy>Un-named</cp:lastModifiedBy>
  <cp:revision>1</cp:revision>
  <dcterms:created xsi:type="dcterms:W3CDTF">2026-07-11T01:14:06.039Z</dcterms:created>
  <dcterms:modified xsi:type="dcterms:W3CDTF">2026-07-11T01:14:06.039Z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