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B1533"/>
          <w:spacing w:val="120"/>
          <w:sz w:val="36"/>
          <w:szCs w:val="36"/>
        </w:rPr>
        <w:t xml:space="preserve">GLOBAL OFFICE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A6172"/>
          <w:sz w:val="16"/>
          <w:szCs w:val="16"/>
        </w:rPr>
        <w:t xml:space="preserve">The AI Business Operating System · Investor One-Pager · Confidential</w:t>
      </w:r>
    </w:p>
    <w:p>
      <w:pPr>
        <w:pBdr>
          <w:bottom w:val="single" w:color="0B1533" w:sz="6" w:space="1"/>
        </w:pBdr>
        <w:spacing w:after="120"/>
      </w:pPr>
    </w:p>
    <w:p>
      <w:pPr>
        <w:spacing w:after="120"/>
      </w:pPr>
      <w:r>
        <w:rPr>
          <w:rFonts w:ascii="Georgia" w:cs="Georgia" w:eastAsia="Georgia" w:hAnsi="Georgia"/>
          <w:i/>
          <w:iCs/>
          <w:color w:val="0B1533"/>
          <w:sz w:val="26"/>
          <w:szCs w:val="26"/>
        </w:rPr>
        <w:t xml:space="preserve">One intelligent surface for how modern organizations actually work.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B8892E"/>
          <w:spacing w:val="80"/>
          <w:sz w:val="14"/>
          <w:szCs w:val="14"/>
        </w:rPr>
        <w:t xml:space="preserve">THE COMPANY</w:t>
      </w:r>
    </w:p>
    <w:p>
      <w:pPr>
        <w:spacing w:after="60"/>
      </w:pPr>
      <w:r>
        <w:rPr>
          <w:rFonts w:ascii="Calibri" w:cs="Calibri" w:eastAsia="Calibri" w:hAnsi="Calibri"/>
          <w:color w:val="0B1533"/>
          <w:sz w:val="18"/>
          <w:szCs w:val="18"/>
        </w:rPr>
        <w:t xml:space="preserve">Global Office (a product of Soteria AI Technologies Inc. (a Delaware C-Corporation)) is building the AI Business Operating System — a single, AI-native surface unifying attendance, execution, communication, knowledge, HR, finance, meetings, and executive intelligence.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B8892E"/>
          <w:spacing w:val="80"/>
          <w:sz w:val="14"/>
          <w:szCs w:val="14"/>
        </w:rPr>
        <w:t xml:space="preserve">WHY NOW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B1533"/>
          <w:sz w:val="18"/>
          <w:szCs w:val="18"/>
        </w:rPr>
        <w:t xml:space="preserve">Generative AI has crossed the utility threshold — ~$2.6–4.4T annual productivity value at stake (McKinsey, 2023).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B1533"/>
          <w:sz w:val="18"/>
          <w:szCs w:val="18"/>
        </w:rPr>
        <w:t xml:space="preserve">SaaS unbundling has run its course; the rebundling window — historically the moment new category leaders emerge — is open.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B1533"/>
          <w:sz w:val="18"/>
          <w:szCs w:val="18"/>
        </w:rPr>
        <w:t xml:space="preserve">Global SME digitization: ~400M SMEs worldwide, ~90% of employment (World Bank), rapidly ready for consolidated software.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B8892E"/>
          <w:spacing w:val="80"/>
          <w:sz w:val="14"/>
          <w:szCs w:val="14"/>
        </w:rPr>
        <w:t xml:space="preserve">MARKET</w:t>
      </w:r>
    </w:p>
    <w:p>
      <w:pPr>
        <w:spacing w:after="60"/>
      </w:pPr>
      <w:r>
        <w:rPr>
          <w:rFonts w:ascii="Calibri" w:cs="Calibri" w:eastAsia="Calibri" w:hAnsi="Calibri"/>
          <w:color w:val="0B1533"/>
          <w:sz w:val="18"/>
          <w:szCs w:val="18"/>
        </w:rPr>
        <w:t xml:space="preserve">Global application software: $340B (2025) → $460B (2028) [IDC]. AI-native application layer: $18B → $92B (50%+ CAGR). Serviceable market for Global Office: ~$48.8B blended global SAM. 5-year SOM target: ~$170M ARR (0.35% capture).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B8892E"/>
          <w:spacing w:val="80"/>
          <w:sz w:val="14"/>
          <w:szCs w:val="14"/>
        </w:rPr>
        <w:t xml:space="preserve">PRODUCT &amp; MOAT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B1533"/>
          <w:sz w:val="18"/>
          <w:szCs w:val="18"/>
        </w:rPr>
        <w:t xml:space="preserve">Ten integrated modules on one unified data graph — every entity is a first-class node.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B1533"/>
          <w:sz w:val="18"/>
          <w:szCs w:val="18"/>
        </w:rPr>
        <w:t xml:space="preserve">Intelligence layer that observes and suggests across the whole organization, not per-app.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B1533"/>
          <w:sz w:val="18"/>
          <w:szCs w:val="18"/>
        </w:rPr>
        <w:t xml:space="preserve">Suggestive-only AI — auditable, reversible; addresses enterprise AI-governance risk.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B1533"/>
          <w:sz w:val="18"/>
          <w:szCs w:val="18"/>
        </w:rPr>
        <w:t xml:space="preserve">Mobile-first, global-first: multi-currency, multi-language, local payroll/tax, low-bandwidth optimized.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B8892E"/>
          <w:spacing w:val="80"/>
          <w:sz w:val="14"/>
          <w:szCs w:val="14"/>
        </w:rPr>
        <w:t xml:space="preserve">BUSINESS MODEL</w:t>
      </w:r>
    </w:p>
    <w:p>
      <w:pPr>
        <w:spacing w:after="60"/>
      </w:pPr>
      <w:r>
        <w:rPr>
          <w:rFonts w:ascii="Calibri" w:cs="Calibri" w:eastAsia="Calibri" w:hAnsi="Calibri"/>
          <w:color w:val="0B1533"/>
          <w:sz w:val="18"/>
          <w:szCs w:val="18"/>
        </w:rPr>
        <w:t xml:space="preserve">Per-seat SaaS subscription: Standard $12/user/mo, Business $22/user/mo, Enterprise custom. AI usage metered above included credits. Gross margin target 78–82% at scale. Blended Year-3 ARPU: $220/org/mo.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B8892E"/>
          <w:spacing w:val="80"/>
          <w:sz w:val="14"/>
          <w:szCs w:val="14"/>
        </w:rPr>
        <w:t xml:space="preserve">TRACTION &amp; STAGE</w:t>
      </w:r>
    </w:p>
    <w:p>
      <w:pPr>
        <w:spacing w:after="60"/>
      </w:pPr>
      <w:r>
        <w:rPr>
          <w:rFonts w:ascii="Calibri" w:cs="Calibri" w:eastAsia="Calibri" w:hAnsi="Calibri"/>
          <w:color w:val="0B1533"/>
          <w:sz w:val="18"/>
          <w:szCs w:val="18"/>
        </w:rPr>
        <w:t xml:space="preserve">Pre-seed, pre-launch. Ten production-ready modules built. Design-partner cohort forming across US, UK, and Nigeria. Founder-market fit: Wisdom Jonathans, prior AI systems and organizational leadership experience.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B8892E"/>
          <w:spacing w:val="80"/>
          <w:sz w:val="14"/>
          <w:szCs w:val="14"/>
        </w:rPr>
        <w:t xml:space="preserve">FINANCIAL FRAMEWORK (BASE CASE)</w:t>
      </w:r>
    </w:p>
    <w:p>
      <w:pPr>
        <w:spacing w:after="60"/>
      </w:pPr>
      <w:r>
        <w:rPr>
          <w:rFonts w:ascii="Calibri" w:cs="Calibri" w:eastAsia="Calibri" w:hAnsi="Calibri"/>
          <w:color w:val="0B1533"/>
          <w:sz w:val="18"/>
          <w:szCs w:val="18"/>
        </w:rPr>
        <w:t xml:space="preserve">Yr 1: 120 orgs, ~$0.32M ARR. Yr 2: 900 orgs, ~$2.4M ARR. Yr 3: 3,600 orgs, ~$13.0M ARR. Break-even late Yr 3. Bear / Base / Bull sensitivity modeled.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B8892E"/>
          <w:spacing w:val="80"/>
          <w:sz w:val="14"/>
          <w:szCs w:val="14"/>
        </w:rPr>
        <w:t xml:space="preserve">THE ASK</w:t>
      </w:r>
    </w:p>
    <w:p>
      <w:pPr>
        <w:spacing w:after="60"/>
      </w:pPr>
      <w:r>
        <w:rPr>
          <w:rFonts w:ascii="Calibri" w:cs="Calibri" w:eastAsia="Calibri" w:hAnsi="Calibri"/>
          <w:color w:val="0B1533"/>
          <w:sz w:val="18"/>
          <w:szCs w:val="18"/>
        </w:rPr>
        <w:t xml:space="preserve">Raising $1.5M pre-seed for 18–24 months of runway. Use of funds: 50% product &amp; engineering, 25% go-to-market and design-partner acquisition, 15% compliance (SOC 2), 10% operating reserve. Milestones: 1,000 paying orgs, $2M+ ARR, SOC 2 Type I, Series-A ready.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B8892E"/>
          <w:spacing w:val="80"/>
          <w:sz w:val="14"/>
          <w:szCs w:val="14"/>
        </w:rPr>
        <w:t xml:space="preserve">TEAM</w:t>
      </w:r>
    </w:p>
    <w:p>
      <w:pPr>
        <w:spacing w:after="60"/>
      </w:pPr>
      <w:r>
        <w:rPr>
          <w:rFonts w:ascii="Calibri" w:cs="Calibri" w:eastAsia="Calibri" w:hAnsi="Calibri"/>
          <w:color w:val="0B1533"/>
          <w:sz w:val="18"/>
          <w:szCs w:val="18"/>
        </w:rPr>
        <w:t xml:space="preserve">Wisdom Jonathans — Founder &amp; CEO, Soteria AI Technologies. AI systems strategist and technology founder focused on intelligent platforms for large-scale operational challenges. Founding engineering and design team in place.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B8892E"/>
          <w:spacing w:val="80"/>
          <w:sz w:val="14"/>
          <w:szCs w:val="14"/>
        </w:rPr>
        <w:t xml:space="preserve">CONTACT</w:t>
      </w:r>
    </w:p>
    <w:p>
      <w:pPr>
        <w:spacing w:after="60"/>
      </w:pPr>
      <w:r>
        <w:rPr>
          <w:rFonts w:ascii="Calibri" w:cs="Calibri" w:eastAsia="Calibri" w:hAnsi="Calibri"/>
          <w:color w:val="0B1533"/>
          <w:sz w:val="18"/>
          <w:szCs w:val="18"/>
        </w:rPr>
        <w:t xml:space="preserve">investors@globaloffice.ai · Full data room and materials available on request.</w:t>
      </w:r>
    </w:p>
    <w:p>
      <w:pPr>
        <w:pBdr>
          <w:bottom w:val="single" w:color="0B1533" w:sz="6" w:space="1"/>
        </w:pBdr>
        <w:spacing w:after="120"/>
      </w:pPr>
    </w:p>
    <w:p>
      <w:r>
        <w:rPr>
          <w:rFonts w:ascii="Calibri" w:cs="Calibri" w:eastAsia="Calibri" w:hAnsi="Calibri"/>
          <w:i/>
          <w:iCs/>
          <w:color w:val="5A6172"/>
          <w:sz w:val="14"/>
          <w:szCs w:val="14"/>
        </w:rPr>
        <w:t xml:space="preserve">Confidential — prepared for prospective investors. Forward-looking statements reflect strategic assumptions and are not guarantees of future performance.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50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5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Global Office — Organization Health Dashboard (live product)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Georgia" w:cs="Georgia" w:eastAsia="Georgia" w:hAnsi="Georgia"/>
      <w:b/>
      <w:bCs/>
      <w:color w:val="0B15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Georgia" w:cs="Georgia" w:eastAsia="Georgia" w:hAnsi="Georgia"/>
      <w:b/>
      <w:bCs/>
      <w:color w:val="0B1533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2026-07-13T10:28:41.775Z</dcterms:created>
  <dcterms:modified xsi:type="dcterms:W3CDTF">2026-07-13T10:28:41.775Z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