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Calibri" w:cs="Calibri" w:eastAsia="Calibri" w:hAnsi="Calibri"/>
          <w:b/>
          <w:bCs/>
          <w:color w:val="B8892E"/>
          <w:spacing w:val="100"/>
          <w:sz w:val="18"/>
          <w:szCs w:val="18"/>
        </w:rPr>
        <w:t xml:space="preserve">PRODUCT &amp; ARCHITECTURE OVERVIEW</w:t>
      </w:r>
    </w:p>
    <w:p>
      <w:pPr>
        <w:spacing w:after="200" w:before="400"/>
      </w:pPr>
      <w:r>
        <w:rPr>
          <w:rFonts w:ascii="Georgia" w:cs="Georgia" w:eastAsia="Georgia" w:hAnsi="Georgia"/>
          <w:b/>
          <w:bCs/>
          <w:color w:val="0B1533"/>
          <w:sz w:val="64"/>
          <w:szCs w:val="64"/>
        </w:rPr>
        <w:t xml:space="preserve">Product Strategy &amp; Technical Architecture</w:t>
      </w:r>
    </w:p>
    <w:p>
      <w:pPr>
        <w:spacing w:after="400"/>
      </w:pPr>
      <w:r>
        <w:rPr>
          <w:rFonts w:ascii="Georgia" w:cs="Georgia" w:eastAsia="Georgia" w:hAnsi="Georgia"/>
          <w:i/>
          <w:iCs/>
          <w:color w:val="0B1533"/>
          <w:sz w:val="28"/>
          <w:szCs w:val="28"/>
        </w:rPr>
        <w:t xml:space="preserve">How Global Office is built, and how it will evolve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5A6172"/>
          <w:sz w:val="22"/>
          <w:szCs w:val="22"/>
        </w:rPr>
        <w:t xml:space="preserve">Prepared by Global Office, a product of Soteria AI Technologies Inc. (a Delaware C-Corporation).</w:t>
      </w:r>
    </w:p>
    <w:p>
      <w:pPr>
        <w:spacing w:after="120"/>
      </w:pPr>
      <w:r>
        <w:rPr>
          <w:rFonts w:ascii="Calibri" w:cs="Calibri" w:eastAsia="Calibri" w:hAnsi="Calibri"/>
          <w:color w:val="5A6172"/>
          <w:sz w:val="20"/>
          <w:szCs w:val="20"/>
        </w:rPr>
        <w:t xml:space="preserve">This document is confidential and intended solely for the named recipient. It contains proprietary information and forward-looking strategic assumptions. Distribution or reproduction without written consent is prohibited.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1. Product Philosophy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Global Office is built on three uncompromising principles: (i) one coherent surface — the user should never feel a boundary between modules; (ii) intelligence is a substrate, not a feature — AI is present in every workflow, not partitioned into an assistant panel; (iii) suggestive-only autonomy — AI proposes, humans decide, every action is logged, reviewable, and reversible.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2. Product Pillars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51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Pillar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Representative capabilities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Execution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work moves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Tasks, projects, kanban, workload balancing, job planning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teams align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Real-time messaging, channels, meetings, announcements, Partner Connect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People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the org runs itself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Attendance, leave, HR, payroll, performance, hiring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Knowledge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context accumulates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Documents, memos, digital signatures, knowledge graph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Finance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money moves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Invoicing, expenses, payroll integration, financial dashboards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Intelligence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the org sees itself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1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AI insights, anomaly detection, health score, executive control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Automation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How processes scale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B1533"/>
                <w:sz w:val="20"/>
                <w:szCs w:val="20"/>
              </w:rPr>
              <w:t xml:space="preserve">Visual IF/THEN workflow engine, integrations</w:t>
            </w:r>
          </w:p>
        </w:tc>
      </w:tr>
    </w:tbl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3. Technical Architecture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3.1 Stack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Frontend: React 18 + TypeScript + Vite; Tailwind design system; Framer Motion; mobile-first responsive.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Backend: PostgreSQL (Supabase) with strict row-level security; Edge Functions (Deno) for stateless services.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Real-time: Postgres LISTEN/NOTIFY + Supabase Realtime for messaging, presence, and live dashboards.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Video: LiveKit for meetings; WebRTC; scalable SFU.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AI: Lovable AI Gateway abstracting frontier models (OpenAI, Anthropic, Google) with per-org routing and cost governance.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Storage: Supabase Storage with signed URLs and per-tenant buckets.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Deployment: Cloudflare Workers / Pages for edge distribution; multi-region data planes on the roadmap.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3.2 Multi-tenant model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tenancy hierarchy is Organization → Department → User. Every table is tenant-scoped via a mandatory org_id column and enforced by row-level security policies at the database level. A user's effective role is resolved server-side via a security-definer function to prevent privilege-escalation attacks. Roles: Owner, Executive, Manager, Staff, Contractor, HR, Accountant, Auditor.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3.3 Data graph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operational entity — person, task, message, document, decision, meeting, transaction — is represented as a first-class node linked by typed relationships. This uniform substrate is what enables cross-module intelligence: an AI insight about an under-utilized engineer draws from attendance, task, project, and messaging data with no separate integration layer.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3.4 AI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Model routing — requests are dispatched to the most cost-effective frontier model that meets latency and quality thresholds.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Retrieval — a per-tenant vector index is built from the graph, ensuring AI answers are grounded in the organization's own reality.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Governance — every AI decision is logged with model, prompt, temperature, output, and user acceptance signal for audit.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Suggestive-only — AI never performs irreversible actions autonomously; all writes require human confirmation.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3.5 Security &amp; compliance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 isolation — enforced at the database via RLS; regularly audited by an automated linter in 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Authentication — email + password with MFA; OAuth via Google; SSO/SAML on the roadmap.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Encryption — TLS 1.3 in transit; AES-256 at rest; per-tenant encryption for sensitive HR and finance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Compliance targets — SOC 2 Type II (Year 2), ISO 27001 (Year 3), GDPR/CCPA/POPIA/NDPR from day one via data-residency configuration.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4. Product Roadmap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1 — Foundation &amp; Design Partners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Harden the ten core modules already in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Ship the Executive Control Center v2 with weighted Health Score.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Launch Partner Connect for inter-organization workflows.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SOC 2 Type I preparation.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2 — Scale &amp; Intelligence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Vertical editions: Professional Services, Hospitality, Education.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Advanced workflow automation with AI-generated pipelines.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Marketplace for third-party modules and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SOC 2 Type II certification; EU data plane launch.</w:t>
      </w:r>
    </w:p>
    <w:p>
      <w:pPr>
        <w:pStyle w:val="Heading2"/>
        <w:spacing w:after="140" w:before="280"/>
      </w:pPr>
      <w:r>
        <w:rPr>
          <w:rFonts w:ascii="Georgia" w:cs="Georgia" w:eastAsia="Georgia" w:hAnsi="Georgia"/>
          <w:b/>
          <w:bCs/>
          <w:color w:val="0B1533"/>
          <w:sz w:val="28"/>
          <w:szCs w:val="28"/>
        </w:rPr>
        <w:t xml:space="preserve">Year 3 — Platform &amp; Ecosystem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Public API and SDK for partners and integrators.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 agent framework for organization-specific autonomous workflows (human-in-the-loop).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ISO 27001; multi-region data planes (US, EU, MENA, APAC, SSA).</w:t>
      </w:r>
    </w:p>
    <w:p>
      <w:pPr>
        <w:pStyle w:val="Heading1"/>
        <w:spacing w:after="180" w:before="360"/>
      </w:pPr>
      <w:r>
        <w:rPr>
          <w:rFonts w:ascii="Georgia" w:cs="Georgia" w:eastAsia="Georgia" w:hAnsi="Georgia"/>
          <w:b/>
          <w:bCs/>
          <w:color w:val="0B1533"/>
          <w:sz w:val="36"/>
          <w:szCs w:val="36"/>
        </w:rPr>
        <w:t xml:space="preserve">5. Engineering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Ship in small, reversible increments; feature-flag everything customer-facing.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Prefer database-enforced invariants over application-layer checks.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Every AI feature ships with a control (on/off, per-org, per-role) and a review surface.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Observability, not intuition — every module emits activity events for the intelligence layer.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5A6172"/>
        <w:sz w:val="14"/>
        <w:szCs w:val="14"/>
      </w:rPr>
      <w:t xml:space="preserve">Soteria AI Technologies Inc.</w:t>
    </w:r>
    <w:r>
      <w:rPr>
        <w:rFonts w:ascii="Calibri" w:cs="Calibri" w:eastAsia="Calibri" w:hAnsi="Calibri"/>
        <w:color w:val="5A6172"/>
        <w:sz w:val="14"/>
        <w:szCs w:val="14"/>
      </w:rPr>
      <w:t xml:space="preserve">	Page </w:t>
    </w:r>
    <w:r>
      <w:rPr>
        <w:rFonts w:ascii="Calibri" w:cs="Calibri" w:eastAsia="Calibri" w:hAnsi="Calibri"/>
        <w:color w:val="5A61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5A6172"/>
        <w:spacing w:val="80"/>
        <w:sz w:val="14"/>
        <w:szCs w:val="14"/>
      </w:rPr>
      <w:t xml:space="preserve">GLOBAL OFFICE  ·  CONFIDENTIAL  ·  INVESTOR MATERIAL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2026-07-13T10:28:41.648Z</dcterms:created>
  <dcterms:modified xsi:type="dcterms:W3CDTF">2026-07-13T10:28:41.648Z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