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eorgia" w:hAnsi="Georgia"/>
          <w:b/>
          <w:color w:val="0B1533"/>
          <w:sz w:val="72"/>
        </w:rPr>
        <w:t>GLOBAL OFFICE</w:t>
      </w:r>
    </w:p>
    <w:p>
      <w:pPr>
        <w:jc w:val="center"/>
      </w:pPr>
      <w:r>
        <w:rPr>
          <w:rFonts w:ascii="Georgia" w:hAnsi="Georgia"/>
          <w:i/>
          <w:color w:val="C9A24C"/>
          <w:sz w:val="36"/>
        </w:rPr>
        <w:t>Strategic Business Plan</w:t>
      </w:r>
    </w:p>
    <w:p>
      <w:pPr>
        <w:jc w:val="center"/>
      </w:pPr>
      <w:r>
        <w:rPr>
          <w:rFonts w:ascii="Georgia" w:hAnsi="Georgia"/>
          <w:color w:val="4A5568"/>
          <w:sz w:val="24"/>
        </w:rPr>
        <w:t>Three-Year Plan, Base Case</w:t>
      </w:r>
    </w:p>
    <w:p/>
    <w:p/>
    <w:p/>
    <w:p/>
    <w:p/>
    <w:p/>
    <w:p/>
    <w:p/>
    <w:p>
      <w:pPr>
        <w:jc w:val="center"/>
      </w:pPr>
      <w:r>
        <w:rPr>
          <w:rFonts w:ascii="Georgia" w:hAnsi="Georgia"/>
          <w:i/>
          <w:color w:val="1A1F2C"/>
          <w:sz w:val="22"/>
        </w:rPr>
        <w:t>A global-first AI-native operating system for organizations.</w:t>
      </w:r>
    </w:p>
    <w:p/>
    <w:p/>
    <w:p/>
    <w:p/>
    <w:p/>
    <w:p/>
    <w:p>
      <w:pPr>
        <w:jc w:val="center"/>
      </w:pPr>
      <w:r>
        <w:rPr>
          <w:i/>
          <w:color w:val="4A5568"/>
          <w:sz w:val="18"/>
        </w:rPr>
        <w:t>Confidential — For institutional investor review only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1. Executive Summary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Global Office is an AI-native Business Operating System (AI-BOS) that unifies attendance, execution, communication, meetings, documents, HR, finance, and analytics into one coherent workspace with an intelligence layer that observes activity and produces suggestive decision support. Legacy suites — Microsoft 365, Google Workspace, Slack + Asana + Notion + Zoom — remain optimized for the fragmented workflows of the 2010s and leave AI as a bolt-on. Global Office treats AI as the substrate.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The company targets developed-market small and mid-sized organizations first — North America, Western Europe, the United Kingdom, Australia/New Zealand, Singapore, and Israel — where SMB software spend is deepest and willingness-to-pay for productivity infrastructure is highest. Emerging-market expansion follows in a later phase.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The plan in one page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Base-case Y3 outcome: ~3,600 paying organizations, ~$13.0M ARR, ~80% gross margin, ~$0.6M EBITDA.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Capital plan: $1.5M pre-seed (Y1), $5M seed (Y2), $15M Series A (Y3).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Wedge: attendance + execution + communication as a single subscription with AI insights native.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Moat: integrated data graph across modules — competitors cannot replicate without collapsing their SKUs.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Team: founder-led product with domain depth in operations, AI systems, and multi-tenant architecture.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2. Company &amp; Vision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2.1 Mission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To make every organization measurably better-run by embedding intelligence into the operating fabric of work.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2.2 Vision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A world where a five-person studio and a five-thousand-person enterprise use the same categorically-superior operating layer — one where decisions are informed by continuous, private, cross-module signal rather than by scattered dashboards and stale weekly reports.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2.3 Legal entity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Global Office is a product of Soteria AI Technologies Limited.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3. Market Opportunity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3.1 Category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We define the category as the AI-Native Business Operating System (AI-BOS). It sits at the intersection of three previously distinct markets: digital workplace suites, work management platforms, and vertical AI copilots. None of the incumbents own the integrated surface; each optimizes for its historical wedge.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3.2 Market sizing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Total Addressable Market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Aggregate spend across digital workplace, work management, HR tech, and communication tools exceeds $180B globally by 2027 (Gartner Digital Workplace Forecast, 2024; IDC Enterprise Applications, 2024). AI operations software is the fastest-growing segment inside this, expanding at a &gt;30% CAGR (McKinsey State of AI, 2024).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Serviceable Addressable Market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Global Office initially serves organizations of 10–500 employees in developed markets. That segment represents roughly $38B of annual software spend across our covered modules and is characterized by unmet demand for consolidation — the median SMB runs 8–12 productivity tools (Gartner SMB Survey, 2024).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Serviceable Obtainable Market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At $220–$300 blended monthly ARPU per organization, capturing 0.5% of the SAM represents ~$570M ARR — roughly 40× the base-case Year 3 revenue in this plan. The base case is deliberately conservative relative to the SOM ceiling.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3.3 Why now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Foundation-model capability crossed the threshold where cross-module summarization and anomaly detection are usable, not novelty.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Post-2023 SaaS budget discipline is driving active tool consolidation — a tailwind for a suite, a headwind for point solutions.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Distributed and hybrid work has become durable, exposing gaps in tools built for co-located teams.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Data-privacy regimes (GDPR, CPRA, sector regulations) reward architectures with strict tenant isolation and auditability.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4. Product &amp; Architecture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4.1 Modules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Attendance &amp; Leave — geofenced/IP-validated clock-in, leave workflow, capacity planning.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Execution — projects, tasks, kanban, dependencies, AI workload balancing.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Communication — real-time channels, direct messages, inter-organization Partner Connect.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Meetings — LiveKit video with AI transcription and action-item extraction.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Documents — signed memos, digital signatures, versioned knowledge base.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HR &amp; Finance — payroll, performance reviews, hiring pipeline, budgets.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Announcements — corporate broadcast with read receipts.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Intelligence — KPI/OKR tracking, executive control center, weighted health score.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Workflow automation — visual IF/THEN rules across modules.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AI Insights — anomaly detection, predictive alerts, suggestive-only recommendations.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4.2 Architectural principles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Multi-tenant with strict row-level isolation (Organization &gt; Department &gt; User).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Role-based access control across seven canonical roles — Owner, Executive, Manager, Staff, Contractor, HR, Accountant, Auditor.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Every action written to an immutable activity log that powers AI anomaly detection.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Mobile-first with an offline-tolerant UI for low-bandwidth environments.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AI is suggestive, not autonomous — humans retain every consequential decision.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5. Business Model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5.1 Pricing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Per-organization subscription with three tiers — Starter, Growth, Enterprise — priced against seat count and module depth. Blended ARPU rises from ~$220/mo in Year 1 to ~$300/mo in Year 3 as enterprise mix grows from ~10% to ~28% of new bookings.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5.2 Unit economics (base case, Year 3)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Gross margin: ~80%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Blended CAC: ~$1,150 per organization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LTV : CAC: ~9x (gross-margin-adjusted, 14-year implied life at 7% churn)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CAC payback: ~5.7 months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Net revenue retention: ~115%</w:t>
      </w:r>
    </w:p>
    <w:p>
      <w:pPr>
        <w:spacing w:line="336" w:lineRule="auto"/>
      </w:pPr>
      <w:r>
        <w:rPr>
          <w:rFonts w:ascii="Georgia" w:hAnsi="Georgia"/>
          <w:i/>
          <w:color w:val="4A5568"/>
          <w:sz w:val="22"/>
        </w:rPr>
        <w:t>Full derivations, sensitivities, and formula chain are in the accompanying Financial Model.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6. Go-to-Market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6.1 Channels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Product-led inbound: free trial, in-product AI insights as the primary hook.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Outbound: focused ICP lists in operations-heavy SMBs (professional services, agencies, clinics, education, hospitality).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Partner channel: MSPs, accountants, HR consultancies, systems integrators serving the same ICP.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6.2 Sequencing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Year 1: North America + UK inbound with a small direct-sales motion.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Year 2: Add Western Europe, ANZ, Singapore; scale partner channel.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Year 3: Add Israel, add vertical editions, pilot emerging-market expansion via partners.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7. Competition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7.1 Landscape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Suites: Microsoft 365, Google Workspace — deep, but AI is bolted onto siloed apps.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Work management: Monday, Asana, ClickUp — strong PM, thin on communication/HR/finance and AI signal.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Communication: Slack, Teams — chat + calls, no operating fabric.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Vertical AI copilots: emerging, each solves one workflow.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7.2 White space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No incumbent owns the integrated operating fabric with AI as the substrate. Suites cannot collapse their SKUs without cannibalizing legacy revenue; point tools cannot expand without rebuilding the data graph. Global Office is greenfield in this middle.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8. Defensibility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Data graph: cross-module signal (attendance + task velocity + comms + meetings) is impossible to replicate from any single competitor's slice.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Switching cost: workflow automations, historical activity log, and OKR/KPI history compound over time.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Distribution: partner channel and inter-organization Partner Connect create network effects.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Brand: 'AI-native operating system' category ownership if executed early.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9. Financial Plan (Base Case)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Full model provided separately. Headline three-year build: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268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268"/>
          </w:tcPr>
          <w:p>
            <w:r>
              <w:t>Paying organizations (EoY)</w:t>
            </w:r>
          </w:p>
        </w:tc>
        <w:tc>
          <w:tcPr>
            <w:tcW w:type="dxa" w:w="2268"/>
          </w:tcPr>
          <w:p>
            <w:r>
              <w:t>120</w:t>
            </w:r>
          </w:p>
        </w:tc>
        <w:tc>
          <w:tcPr>
            <w:tcW w:type="dxa" w:w="2268"/>
          </w:tcPr>
          <w:p>
            <w:r>
              <w:t>900</w:t>
            </w:r>
          </w:p>
        </w:tc>
        <w:tc>
          <w:tcPr>
            <w:tcW w:type="dxa" w:w="2268"/>
          </w:tcPr>
          <w:p>
            <w:r>
              <w:t>3,600</w:t>
            </w:r>
          </w:p>
        </w:tc>
      </w:tr>
      <w:tr>
        <w:tc>
          <w:tcPr>
            <w:tcW w:type="dxa" w:w="2268"/>
          </w:tcPr>
          <w:p>
            <w:r>
              <w:t>Blended ARPU (per mo)</w:t>
            </w:r>
          </w:p>
        </w:tc>
        <w:tc>
          <w:tcPr>
            <w:tcW w:type="dxa" w:w="2268"/>
          </w:tcPr>
          <w:p>
            <w:r>
              <w:t>$220</w:t>
            </w:r>
          </w:p>
        </w:tc>
        <w:tc>
          <w:tcPr>
            <w:tcW w:type="dxa" w:w="2268"/>
          </w:tcPr>
          <w:p>
            <w:r>
              <w:t>$260</w:t>
            </w:r>
          </w:p>
        </w:tc>
        <w:tc>
          <w:tcPr>
            <w:tcW w:type="dxa" w:w="2268"/>
          </w:tcPr>
          <w:p>
            <w:r>
              <w:t>$300</w:t>
            </w:r>
          </w:p>
        </w:tc>
      </w:tr>
      <w:tr>
        <w:tc>
          <w:tcPr>
            <w:tcW w:type="dxa" w:w="2268"/>
          </w:tcPr>
          <w:p>
            <w:r>
              <w:t>ARR (EoY)</w:t>
            </w:r>
          </w:p>
        </w:tc>
        <w:tc>
          <w:tcPr>
            <w:tcW w:type="dxa" w:w="2268"/>
          </w:tcPr>
          <w:p>
            <w:r>
              <w:t>$0.32M</w:t>
            </w:r>
          </w:p>
        </w:tc>
        <w:tc>
          <w:tcPr>
            <w:tcW w:type="dxa" w:w="2268"/>
          </w:tcPr>
          <w:p>
            <w:r>
              <w:t>$2.81M</w:t>
            </w:r>
          </w:p>
        </w:tc>
        <w:tc>
          <w:tcPr>
            <w:tcW w:type="dxa" w:w="2268"/>
          </w:tcPr>
          <w:p>
            <w:r>
              <w:t>$12.96M</w:t>
            </w:r>
          </w:p>
        </w:tc>
      </w:tr>
      <w:tr>
        <w:tc>
          <w:tcPr>
            <w:tcW w:type="dxa" w:w="2268"/>
          </w:tcPr>
          <w:p>
            <w:r>
              <w:t>Gross margin</w:t>
            </w:r>
          </w:p>
        </w:tc>
        <w:tc>
          <w:tcPr>
            <w:tcW w:type="dxa" w:w="2268"/>
          </w:tcPr>
          <w:p>
            <w:r>
              <w:t>72%</w:t>
            </w:r>
          </w:p>
        </w:tc>
        <w:tc>
          <w:tcPr>
            <w:tcW w:type="dxa" w:w="2268"/>
          </w:tcPr>
          <w:p>
            <w:r>
              <w:t>76%</w:t>
            </w:r>
          </w:p>
        </w:tc>
        <w:tc>
          <w:tcPr>
            <w:tcW w:type="dxa" w:w="2268"/>
          </w:tcPr>
          <w:p>
            <w:r>
              <w:t>80%</w:t>
            </w:r>
          </w:p>
        </w:tc>
      </w:tr>
      <w:tr>
        <w:tc>
          <w:tcPr>
            <w:tcW w:type="dxa" w:w="2268"/>
          </w:tcPr>
          <w:p>
            <w:r>
              <w:t>EBITDA margin</w:t>
            </w:r>
          </w:p>
        </w:tc>
        <w:tc>
          <w:tcPr>
            <w:tcW w:type="dxa" w:w="2268"/>
          </w:tcPr>
          <w:p>
            <w:r>
              <w:t>(220%)</w:t>
            </w:r>
          </w:p>
        </w:tc>
        <w:tc>
          <w:tcPr>
            <w:tcW w:type="dxa" w:w="2268"/>
          </w:tcPr>
          <w:p>
            <w:r>
              <w:t>(20%)</w:t>
            </w:r>
          </w:p>
        </w:tc>
        <w:tc>
          <w:tcPr>
            <w:tcW w:type="dxa" w:w="2268"/>
          </w:tcPr>
          <w:p>
            <w:r>
              <w:t>5%</w:t>
            </w:r>
          </w:p>
        </w:tc>
      </w:tr>
    </w:tbl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9.1 Capital plan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$1.5M pre-seed to deliver first 120 paying organizations and validate developed-market unit economics.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$5M seed to scale S&amp;M and partner channel across Y2 geographies.</w:t>
      </w:r>
    </w:p>
    <w:p>
      <w:pPr>
        <w:pStyle w:val="ListBullet"/>
      </w:pPr>
      <w:r>
        <w:rPr>
          <w:sz w:val="22"/>
        </w:rPr>
      </w:r>
      <w:r>
        <w:rPr>
          <w:rFonts w:ascii="Georgia" w:hAnsi="Georgia"/>
          <w:sz w:val="22"/>
        </w:rPr>
        <w:t>$15M Series A to expand into Y3 target coverage with enterprise motion.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10. Risks &amp; Mitigations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Foundation model cost inflation compressing gross margin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Mitigation: Multi-model routing via Lovable AI Gateway; on-device summarization for high-volume tasks; per-tenant AI credit metering.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Enterprise sales cycle length in developed markets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Mitigation: SMB-first ICP with product-led motion; enterprise reserved for Y3 once brand + reference base is established.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Consolidation by a hyperscaler bundling AI-BOS features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Mitigation: Speed to category ownership; deep integration and switching cost; partner channel as distribution moat.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Data-residency and privacy regulation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Mitigation: Tenant isolation by design; regional deployment options in Y2; documented DPAs and SOC 2 pathway in Y2.</w:t>
      </w:r>
    </w:p>
    <w:p>
      <w:pPr>
        <w:spacing w:before="160"/>
      </w:pPr>
      <w:r>
        <w:rPr>
          <w:rFonts w:ascii="Georgia" w:hAnsi="Georgia"/>
          <w:b/>
          <w:color w:val="1A1F2C"/>
          <w:sz w:val="22"/>
        </w:rPr>
        <w:t>Founder-team concentration risk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Mitigation: Y1 hires cover engineering leadership and GTM leadership; advisory board established pre-seed close.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11. Team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11.1 Founder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Wisdom Jonathans — Founder &amp; CEO. Entrepreneur, AI systems strategist, and operator focused on building intelligent platforms that solve large-scale operational challenges. Founder and CEO of Soteria AI Technologies Limited, where he leads development of AI-powered products for business operations and decision-making.</w:t>
      </w:r>
    </w:p>
    <w:p>
      <w:pPr>
        <w:spacing w:before="240" w:after="60"/>
      </w:pPr>
      <w:r>
        <w:rPr>
          <w:rFonts w:ascii="Georgia" w:hAnsi="Georgia"/>
          <w:b/>
          <w:color w:val="0B1533"/>
          <w:sz w:val="26"/>
        </w:rPr>
        <w:t>11.2 Hiring plan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Y1: engineering leadership, GTM leadership, senior product designer, foundational customer success.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Y2: regional sales, partner leadership, security &amp; compliance lead, senior data/ML engineer.</w:t>
      </w:r>
    </w:p>
    <w:p>
      <w:pPr>
        <w:spacing w:line="336" w:lineRule="auto"/>
      </w:pPr>
      <w:r>
        <w:rPr>
          <w:rFonts w:ascii="Georgia" w:hAnsi="Georgia"/>
          <w:i w:val="0"/>
          <w:sz w:val="22"/>
        </w:rPr>
        <w:t>Y3: VP Sales, VP Marketing, controller, enterprise CS leadership.</w:t>
      </w:r>
    </w:p>
    <w:p>
      <w:r>
        <w:br w:type="page"/>
      </w:r>
    </w:p>
    <w:p>
      <w:pPr>
        <w:spacing w:before="360" w:after="120"/>
        <w:pBdr>
          <w:bottom w:val="single" w:sz="6" w:space="4" w:color="C9A24C"/>
        </w:pBdr>
      </w:pPr>
      <w:r>
        <w:rPr>
          <w:rFonts w:ascii="Georgia" w:hAnsi="Georgia"/>
          <w:b/>
          <w:color w:val="0B1533"/>
          <w:sz w:val="40"/>
        </w:rPr>
        <w:t>12. Appendix — Assumption Register</w:t>
      </w:r>
    </w:p>
    <w:p>
      <w:pPr>
        <w:spacing w:line="336" w:lineRule="auto"/>
      </w:pPr>
      <w:r>
        <w:rPr>
          <w:rFonts w:ascii="Georgia" w:hAnsi="Georgia"/>
          <w:i w:val="0"/>
          <w:color w:val="4A5568"/>
          <w:sz w:val="22"/>
        </w:rPr>
        <w:t>Assumption ranges and their justifications appear in the accompanying Financial Model on the Assumptions sheet. Each yellow-highlighted cell is a scenario lever. Bear, Base, and Bull outcomes are precomputed on the Sensitivity sheet.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