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color w:val="B8892E"/>
          <w:spacing w:val="60"/>
          <w:sz w:val="16"/>
          <w:szCs w:val="16"/>
        </w:rPr>
        <w:t xml:space="preserve">CONFIDENTIAL — PREPARED FOR PROSPECTIVE INVESTORS</w:t>
      </w:r>
    </w:p>
    <w:p>
      <w:pPr>
        <w:pStyle w:val="Title"/>
      </w:pPr>
      <w:r>
        <w:t xml:space="preserve">Package Variants — Grant · DFI · Strategic Partner · Bank Financing</w:t>
      </w:r>
    </w:p>
    <w:p>
      <w:pPr>
        <w:spacing w:after="120"/>
      </w:pPr>
      <w:r>
        <w:t xml:space="preserve">Global Office · Soteria AI Technologies Limited</w:t>
      </w:r>
    </w:p>
    <w:p>
      <w:pPr>
        <w:spacing w:after="120"/>
      </w:pPr>
      <w:r>
        <w:t xml:space="preserve">Purpose: adapt the core investment package to non-equity and non-venture capital sources without altering the underlying thesis or numbers.</w:t>
      </w:r>
    </w:p>
    <w:p>
      <w:pPr>
        <w:pBdr>
          <w:bottom w:val="single" w:color="0B1533" w:sz="6" w:space="1"/>
        </w:pBdr>
      </w:pPr>
    </w:p>
    <w:p>
      <w:pPr>
        <w:pStyle w:val="Heading1"/>
      </w:pPr>
      <w:r>
        <w:t xml:space="preserve">Variant A — Grant / Impact Capital</w:t>
      </w:r>
    </w:p>
    <w:p>
      <w:pPr>
        <w:spacing w:after="60" w:before="200"/>
      </w:pPr>
      <w:r>
        <w:rPr>
          <w:b/>
          <w:bCs/>
          <w:color w:val="B8892E"/>
          <w:spacing w:val="40"/>
          <w:sz w:val="18"/>
          <w:szCs w:val="18"/>
        </w:rPr>
        <w:t xml:space="preserve">AUDIENCE</w:t>
      </w:r>
    </w:p>
    <w:p>
      <w:pPr>
        <w:spacing w:after="120"/>
      </w:pPr>
      <w:r>
        <w:t xml:space="preserve">Foundations, philanthropic capital, innovation grants, blended-finance impact vehicles, government innovation funds targeting SME productivity, digital inclusion, and AI capacity in emerging markets.</w:t>
      </w:r>
    </w:p>
    <w:p>
      <w:pPr>
        <w:spacing w:after="60" w:before="200"/>
      </w:pPr>
      <w:r>
        <w:rPr>
          <w:b/>
          <w:bCs/>
          <w:color w:val="B8892E"/>
          <w:spacing w:val="40"/>
          <w:sz w:val="18"/>
          <w:szCs w:val="18"/>
        </w:rPr>
        <w:t xml:space="preserve">REFRAMING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 with the SME productivity and formalization outcome, not the venture return.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Anchor to the SDG lens: SDG 8 (decent work and economic growth), SDG 9 (industry, innovation, infrastructure), SDG 10 (reduced inequalities).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Global Office as public-good infrastructure for SME digitization in majority-world markets.</w:t>
      </w:r>
    </w:p>
    <w:p>
      <w:pPr>
        <w:spacing w:after="60" w:before="200"/>
      </w:pPr>
      <w:r>
        <w:rPr>
          <w:b/>
          <w:bCs/>
          <w:color w:val="B8892E"/>
          <w:spacing w:val="40"/>
          <w:sz w:val="18"/>
          <w:szCs w:val="18"/>
        </w:rPr>
        <w:t xml:space="preserve">ASK 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Non-dilutive grant: $250K–$750K tranches tied to specific outcomes (design-partner cohort, women-led business adoption, rural connectivity readiness).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Reporting cadence: quarterly narrative + impact metrics (SMEs onboarded, formalization rate, jobs supported, productivity uplift).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Blended structures: pair grant tranches with a matched equity commitment to unlock private capital.</w:t>
      </w:r>
    </w:p>
    <w:p>
      <w:pPr>
        <w:spacing w:after="60" w:before="200"/>
      </w:pPr>
      <w:r>
        <w:rPr>
          <w:b/>
          <w:bCs/>
          <w:color w:val="B8892E"/>
          <w:spacing w:val="40"/>
          <w:sz w:val="18"/>
          <w:szCs w:val="18"/>
        </w:rPr>
        <w:t xml:space="preserve">METRICS THAT MATTER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Number of SMEs onboarded to a functioning operating layer.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 of women-led and youth-led businesses in the 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Estimated productivity hours recovered per SME per month.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Digital-formalization rate: informal → formal transitions attributable to platform use.</w:t>
      </w:r>
    </w:p>
    <w:p>
      <w:pPr>
        <w:pStyle w:val="Heading1"/>
      </w:pPr>
      <w:r>
        <w:t xml:space="preserve">Variant B — DFI (Development Finance Institution)</w:t>
      </w:r>
    </w:p>
    <w:p>
      <w:pPr>
        <w:spacing w:after="60" w:before="200"/>
      </w:pPr>
      <w:r>
        <w:rPr>
          <w:b/>
          <w:bCs/>
          <w:color w:val="B8892E"/>
          <w:spacing w:val="40"/>
          <w:sz w:val="18"/>
          <w:szCs w:val="18"/>
        </w:rPr>
        <w:t xml:space="preserve">AUDIENCE</w:t>
      </w:r>
    </w:p>
    <w:p>
      <w:pPr>
        <w:spacing w:after="120"/>
      </w:pPr>
      <w:r>
        <w:t xml:space="preserve">IFC, FMO, Proparco, BII, DEG, AfDB, Norfund, Swedfund, EIB Global — DFIs with SSA SME digitization, financial inclusion, and technology capacity mandates.</w:t>
      </w:r>
    </w:p>
    <w:p>
      <w:pPr>
        <w:spacing w:after="60" w:before="200"/>
      </w:pPr>
      <w:r>
        <w:rPr>
          <w:b/>
          <w:bCs/>
          <w:color w:val="B8892E"/>
          <w:spacing w:val="40"/>
          <w:sz w:val="18"/>
          <w:szCs w:val="18"/>
        </w:rPr>
        <w:t xml:space="preserve">REFRAMING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 with additionality: what happens in this market without DFI capital vs with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the wedge (SSA SME) as the mandate, not a stepping-stone to be de-emphasized.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Present alignment to the DFI's specific SME, digital-economy, or gender-lens theme.</w:t>
      </w:r>
    </w:p>
    <w:p>
      <w:pPr>
        <w:spacing w:after="60" w:before="200"/>
      </w:pPr>
      <w:r>
        <w:rPr>
          <w:b/>
          <w:bCs/>
          <w:color w:val="B8892E"/>
          <w:spacing w:val="40"/>
          <w:sz w:val="18"/>
          <w:szCs w:val="18"/>
        </w:rPr>
        <w:t xml:space="preserve">ASK 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Ticket size: typically $500K–$3M at pre-seed / seed intersection, sometimes co-invested with venture capital.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Instrument: equity, convertible, or revenue-share depending on DFI mandate.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Reporting: annual development-impact report against E&amp;S standards (IFC Performance Standards, EIB E&amp;S).</w:t>
      </w:r>
    </w:p>
    <w:p>
      <w:pPr>
        <w:spacing w:after="60" w:before="200"/>
      </w:pPr>
      <w:r>
        <w:rPr>
          <w:b/>
          <w:bCs/>
          <w:color w:val="B8892E"/>
          <w:spacing w:val="40"/>
          <w:sz w:val="18"/>
          <w:szCs w:val="18"/>
        </w:rPr>
        <w:t xml:space="preserve">DILIGENCE READINESS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Environmental &amp; Social Management System (ESMS) — scoped in the security and compliance memo.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Gender-lens metrics — collected at organization onboarding.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 hiring and capacity building — reflected in the hiring plan.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Alignment with DAC and OECD BIS reporting standards.</w:t>
      </w:r>
    </w:p>
    <w:p>
      <w:pPr>
        <w:pStyle w:val="Heading1"/>
      </w:pPr>
      <w:r>
        <w:t xml:space="preserve">Variant C — Strategic Partnership</w:t>
      </w:r>
    </w:p>
    <w:p>
      <w:pPr>
        <w:spacing w:after="60" w:before="200"/>
      </w:pPr>
      <w:r>
        <w:rPr>
          <w:b/>
          <w:bCs/>
          <w:color w:val="B8892E"/>
          <w:spacing w:val="40"/>
          <w:sz w:val="18"/>
          <w:szCs w:val="18"/>
        </w:rPr>
        <w:t xml:space="preserve">AUDIENCE</w:t>
      </w:r>
    </w:p>
    <w:p>
      <w:pPr>
        <w:spacing w:after="120"/>
      </w:pPr>
      <w:r>
        <w:t xml:space="preserve">Telcos with SME-services ambition (MTN, Airtel, Safaricom, Vodacom), regional banks with SME banking arms, business-services platforms, ERP resellers, cloud infrastructure partners (AWS, GCP, Azure with credits + go-to-market), payments platforms with SME distribution.</w:t>
      </w:r>
    </w:p>
    <w:p>
      <w:pPr>
        <w:spacing w:after="60" w:before="200"/>
      </w:pPr>
      <w:r>
        <w:rPr>
          <w:b/>
          <w:bCs/>
          <w:color w:val="B8892E"/>
          <w:spacing w:val="40"/>
          <w:sz w:val="18"/>
          <w:szCs w:val="18"/>
        </w:rPr>
        <w:t xml:space="preserve">REFRAMING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 with distribution economics: Global Office extends the partner's SME wallet and reduces churn on their core product.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integration surfaces: identity, payments, connectivity, telephony, SMS/USSD fallback, cloud residency.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Position the partner as the launch-market amplifier, not the acquirer (yet).</w:t>
      </w:r>
    </w:p>
    <w:p>
      <w:pPr>
        <w:spacing w:after="60" w:before="200"/>
      </w:pPr>
      <w:r>
        <w:rPr>
          <w:b/>
          <w:bCs/>
          <w:color w:val="B8892E"/>
          <w:spacing w:val="40"/>
          <w:sz w:val="18"/>
          <w:szCs w:val="18"/>
        </w:rPr>
        <w:t xml:space="preserve">STRUCTURE OPTIONS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Commercial partnership: revenue share on jointly-acquired customers with defined territories.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Strategic investment: equity stake with board observer seat and integration commitments.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Reseller/white-label: platform delivered under partner brand for their SME 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Co-development: joint modules for the partner's core industry (banking, telco, retail).</w:t>
      </w:r>
    </w:p>
    <w:p>
      <w:pPr>
        <w:spacing w:after="60" w:before="200"/>
      </w:pPr>
      <w:r>
        <w:rPr>
          <w:b/>
          <w:bCs/>
          <w:color w:val="B8892E"/>
          <w:spacing w:val="40"/>
          <w:sz w:val="18"/>
          <w:szCs w:val="18"/>
        </w:rPr>
        <w:t xml:space="preserve">GUARDRAILS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exclusivity in the first three years of partnership.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ownership sits with the tenant (customer), never the partner.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Cap-table impact bounded at 10% pre-seed to preserve venture-round optionality.</w:t>
      </w:r>
    </w:p>
    <w:p>
      <w:pPr>
        <w:pStyle w:val="Heading1"/>
      </w:pPr>
      <w:r>
        <w:t xml:space="preserve">Variant D — Bank / Debt Financing</w:t>
      </w:r>
    </w:p>
    <w:p>
      <w:pPr>
        <w:spacing w:after="60" w:before="200"/>
      </w:pPr>
      <w:r>
        <w:rPr>
          <w:b/>
          <w:bCs/>
          <w:color w:val="B8892E"/>
          <w:spacing w:val="40"/>
          <w:sz w:val="18"/>
          <w:szCs w:val="18"/>
        </w:rPr>
        <w:t xml:space="preserve">AUDIENCE</w:t>
      </w:r>
    </w:p>
    <w:p>
      <w:pPr>
        <w:spacing w:after="120"/>
      </w:pPr>
      <w:r>
        <w:t xml:space="preserve">SME-focused commercial banks, venture debt providers (Silicon Valley Bank successors, Kreos, Runway Growth), digital banks with startup lending arms, DFI-backed credit lines routed through local banks, government innovation-credit facilities.</w:t>
      </w:r>
    </w:p>
    <w:p>
      <w:pPr>
        <w:spacing w:after="60" w:before="200"/>
      </w:pPr>
      <w:r>
        <w:rPr>
          <w:b/>
          <w:bCs/>
          <w:color w:val="B8892E"/>
          <w:spacing w:val="40"/>
          <w:sz w:val="18"/>
          <w:szCs w:val="18"/>
        </w:rPr>
        <w:t xml:space="preserve">REFRAMING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 with ARR predictability and gross-margin defensibility once revenue exists.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venture debt as a bridge to extend runway between equity rounds, not a substitute for equity at pre-seed.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non-recourse trade or working-capital lines, anchor to specific receivables (customer contracts, ARR-backed drawdown).</w:t>
      </w:r>
    </w:p>
    <w:p>
      <w:pPr>
        <w:spacing w:after="60" w:before="200"/>
      </w:pPr>
      <w:r>
        <w:rPr>
          <w:b/>
          <w:bCs/>
          <w:color w:val="B8892E"/>
          <w:spacing w:val="40"/>
          <w:sz w:val="18"/>
          <w:szCs w:val="18"/>
        </w:rPr>
        <w:t xml:space="preserve">INSTRUMENT OPTIONS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Convertible note: bridge structure, discount + cap, up to 24 months, converts at qualified financing.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Revenue-based financing: draw against forward ARR at defined multiple, repaid as percentage of monthly revenue.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Venture debt: term loan with warrants, drawn post-seed to extend runway to Series 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Innovation credit / soft loan: government or DFI-backed low-interest credit against innovation milestones.</w:t>
      </w:r>
    </w:p>
    <w:p>
      <w:pPr>
        <w:spacing w:after="60" w:before="200"/>
      </w:pPr>
      <w:r>
        <w:rPr>
          <w:b/>
          <w:bCs/>
          <w:color w:val="B8892E"/>
          <w:spacing w:val="40"/>
          <w:sz w:val="18"/>
          <w:szCs w:val="18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Audited financials once revenue begins (Year 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Corporate governance and board readiness (Year 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Segregated project accounts for restricted facilities.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Standard covenants: reporting, negative pledge, information rights.</w:t>
      </w:r>
    </w:p>
    <w:p>
      <w:pPr>
        <w:pStyle w:val="Heading1"/>
      </w:pPr>
      <w:r>
        <w:t xml:space="preserve">Cross-Variant Positioning Matrix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3800"/>
      </w:tblGrid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5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5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5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Instrument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5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lead with it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B1533"/>
                <w:sz w:val="20"/>
                <w:szCs w:val="20"/>
              </w:rPr>
              <w:t xml:space="preserve">Grant / Impact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B1533"/>
                <w:sz w:val="20"/>
                <w:szCs w:val="20"/>
              </w:rPr>
              <w:t xml:space="preserve">$250K–$750K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B1533"/>
                <w:sz w:val="20"/>
                <w:szCs w:val="20"/>
              </w:rPr>
              <w:t xml:space="preserve">Non-dilutive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B1533"/>
                <w:sz w:val="20"/>
                <w:szCs w:val="20"/>
              </w:rPr>
              <w:t xml:space="preserve">SME formalization, digital inclusion, gender-lens funders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B1533"/>
                <w:sz w:val="20"/>
                <w:szCs w:val="20"/>
              </w:rPr>
              <w:t xml:space="preserve">DFI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B1533"/>
                <w:sz w:val="20"/>
                <w:szCs w:val="20"/>
              </w:rPr>
              <w:t xml:space="preserve">$500K–$3M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B1533"/>
                <w:sz w:val="20"/>
                <w:szCs w:val="20"/>
              </w:rPr>
              <w:t xml:space="preserve">Equity / Convertible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B1533"/>
                <w:sz w:val="20"/>
                <w:szCs w:val="20"/>
              </w:rPr>
              <w:t xml:space="preserve">SSA mandate is a strategic asset, not a constraint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B1533"/>
                <w:sz w:val="20"/>
                <w:szCs w:val="20"/>
              </w:rPr>
              <w:t xml:space="preserve">Strategic Partner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B1533"/>
                <w:sz w:val="20"/>
                <w:szCs w:val="20"/>
              </w:rPr>
              <w:t xml:space="preserve">Varies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B1533"/>
                <w:sz w:val="20"/>
                <w:szCs w:val="20"/>
              </w:rPr>
              <w:t xml:space="preserve">Equity + commercial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B1533"/>
                <w:sz w:val="20"/>
                <w:szCs w:val="20"/>
              </w:rPr>
              <w:t xml:space="preserve">Distribution economics unlock market entry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B1533"/>
                <w:sz w:val="20"/>
                <w:szCs w:val="20"/>
              </w:rPr>
              <w:t xml:space="preserve">Bank / Debt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B1533"/>
                <w:sz w:val="20"/>
                <w:szCs w:val="20"/>
              </w:rPr>
              <w:t xml:space="preserve">$250K–$2M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B1533"/>
                <w:sz w:val="20"/>
                <w:szCs w:val="20"/>
              </w:rPr>
              <w:t xml:space="preserve">Debt / RBF / Venture debt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B1533"/>
                <w:sz w:val="20"/>
                <w:szCs w:val="20"/>
              </w:rPr>
              <w:t xml:space="preserve">Post-revenue bridge or restricted-use working capital</w:t>
            </w:r>
          </w:p>
        </w:tc>
      </w:tr>
    </w:tbl>
    <w:p>
      <w:pPr>
        <w:pBdr>
          <w:bottom w:val="single" w:color="0B1533" w:sz="6" w:space="1"/>
        </w:pBdr>
      </w:pPr>
    </w:p>
    <w:p>
      <w:pPr>
        <w:spacing w:after="120"/>
      </w:pPr>
      <w:r>
        <w:t xml:space="preserve">This document does not constitute an offer to sell securities and is not a solicitation of debt. All variant structures are subject to negotiation and applicable regulation.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Global Office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Arial" w:cs="Arial" w:eastAsia="Arial" w:hAnsi="Arial"/>
      <w:b/>
      <w:bCs/>
      <w:color w:val="0B1533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B15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0B15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B889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2026-07-15T08:31:05.642Z</dcterms:created>
  <dcterms:modified xsi:type="dcterms:W3CDTF">2026-07-15T08:31:05.642Z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