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Calibri" w:cs="Calibri" w:eastAsia="Calibri" w:hAnsi="Calibri"/>
          <w:b/>
          <w:bCs/>
          <w:color w:val="B8892E"/>
          <w:spacing w:val="100"/>
          <w:sz w:val="18"/>
          <w:szCs w:val="18"/>
        </w:rPr>
        <w:t xml:space="preserve">PRODUCT &amp; ARCHITECTURE OVERVIEW</w:t>
      </w:r>
    </w:p>
    <w:p>
      <w:pPr>
        <w:spacing w:after="200" w:before="400"/>
      </w:pPr>
      <w:r>
        <w:rPr>
          <w:rFonts w:ascii="Georgia" w:cs="Georgia" w:eastAsia="Georgia" w:hAnsi="Georgia"/>
          <w:b/>
          <w:bCs/>
          <w:color w:val="0B1533"/>
          <w:sz w:val="64"/>
          <w:szCs w:val="64"/>
        </w:rPr>
        <w:t xml:space="preserve">Product Strategy &amp; Technical Architecture</w:t>
      </w:r>
    </w:p>
    <w:p>
      <w:pPr>
        <w:spacing w:after="400"/>
      </w:pPr>
      <w:r>
        <w:rPr>
          <w:rFonts w:ascii="Georgia" w:cs="Georgia" w:eastAsia="Georgia" w:hAnsi="Georgia"/>
          <w:i/>
          <w:iCs/>
          <w:color w:val="0B1533"/>
          <w:sz w:val="28"/>
          <w:szCs w:val="28"/>
        </w:rPr>
        <w:t xml:space="preserve">How Global Office is built, and how it will evolve</w:t>
      </w:r>
    </w:p>
    <w:p>
      <w:pPr>
        <w:pBdr>
          <w:bottom w:val="single" w:color="0B1533" w:sz="6" w:space="1"/>
        </w:pBdr>
        <w:spacing w:after="12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5A6172"/>
          <w:sz w:val="22"/>
          <w:szCs w:val="22"/>
        </w:rPr>
        <w:t xml:space="preserve">Prepared by Global Office, a product of Soteria AI Technologies Limited.</w:t>
      </w:r>
    </w:p>
    <w:p>
      <w:pPr>
        <w:spacing w:after="120"/>
      </w:pPr>
      <w:r>
        <w:rPr>
          <w:rFonts w:ascii="Calibri" w:cs="Calibri" w:eastAsia="Calibri" w:hAnsi="Calibri"/>
          <w:color w:val="5A6172"/>
          <w:sz w:val="20"/>
          <w:szCs w:val="20"/>
        </w:rPr>
        <w:t xml:space="preserve">This document is confidential and intended solely for the named recipient. It contains proprietary information and forward-looking strategic assumptions. Distribution or reproduction without written consent is prohibited.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Georgia" w:cs="Georgia" w:eastAsia="Georgia" w:hAnsi="Georgia"/>
          <w:b/>
          <w:bCs/>
          <w:color w:val="0B1533"/>
          <w:sz w:val="36"/>
          <w:szCs w:val="36"/>
        </w:rPr>
        <w:t xml:space="preserve">1. Product Philosophy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Global Office is built on three uncompromising principles: (i) one coherent surface — the user should never feel a boundary between modules; (ii) intelligence is a substrate, not a feature — AI is present in every workflow, not partitioned into an assistant panel; (iii) suggestive-only autonomy — AI proposes, humans decide, every action is logged, reviewable, and reversible.</w:t>
      </w:r>
    </w:p>
    <w:p>
      <w:pPr>
        <w:pStyle w:val="Heading1"/>
        <w:spacing w:after="180" w:before="360"/>
      </w:pPr>
      <w:r>
        <w:rPr>
          <w:rFonts w:ascii="Georgia" w:cs="Georgia" w:eastAsia="Georgia" w:hAnsi="Georgia"/>
          <w:b/>
          <w:bCs/>
          <w:color w:val="0B1533"/>
          <w:sz w:val="36"/>
          <w:szCs w:val="36"/>
        </w:rPr>
        <w:t xml:space="preserve">2. Product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5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5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5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Representative capabilities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1533"/>
                <w:sz w:val="20"/>
                <w:szCs w:val="20"/>
              </w:rPr>
              <w:t xml:space="preserve">Execution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1533"/>
                <w:sz w:val="20"/>
                <w:szCs w:val="20"/>
              </w:rPr>
              <w:t xml:space="preserve">How work moves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1533"/>
                <w:sz w:val="20"/>
                <w:szCs w:val="20"/>
              </w:rPr>
              <w:t xml:space="preserve">Tasks, projects, kanban, workload balancing, job planning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1533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1533"/>
                <w:sz w:val="20"/>
                <w:szCs w:val="20"/>
              </w:rPr>
              <w:t xml:space="preserve">How teams align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1533"/>
                <w:sz w:val="20"/>
                <w:szCs w:val="20"/>
              </w:rPr>
              <w:t xml:space="preserve">Real-time messaging, channels, meetings, announcements, Partner Connect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1533"/>
                <w:sz w:val="20"/>
                <w:szCs w:val="20"/>
              </w:rPr>
              <w:t xml:space="preserve">People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1533"/>
                <w:sz w:val="20"/>
                <w:szCs w:val="20"/>
              </w:rPr>
              <w:t xml:space="preserve">How the org runs itself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1533"/>
                <w:sz w:val="20"/>
                <w:szCs w:val="20"/>
              </w:rPr>
              <w:t xml:space="preserve">Attendance, leave, HR, payroll, performance, hiring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1533"/>
                <w:sz w:val="20"/>
                <w:szCs w:val="20"/>
              </w:rPr>
              <w:t xml:space="preserve">Knowledge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1533"/>
                <w:sz w:val="20"/>
                <w:szCs w:val="20"/>
              </w:rPr>
              <w:t xml:space="preserve">How context accumulates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1533"/>
                <w:sz w:val="20"/>
                <w:szCs w:val="20"/>
              </w:rPr>
              <w:t xml:space="preserve">Documents, memos, digital signatures, knowledge graph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1533"/>
                <w:sz w:val="20"/>
                <w:szCs w:val="20"/>
              </w:rPr>
              <w:t xml:space="preserve">Finance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1533"/>
                <w:sz w:val="20"/>
                <w:szCs w:val="20"/>
              </w:rPr>
              <w:t xml:space="preserve">How money moves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1533"/>
                <w:sz w:val="20"/>
                <w:szCs w:val="20"/>
              </w:rPr>
              <w:t xml:space="preserve">Invoicing, expenses, payroll integration, financial dashboards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1533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1533"/>
                <w:sz w:val="20"/>
                <w:szCs w:val="20"/>
              </w:rPr>
              <w:t xml:space="preserve">How the org sees itself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1533"/>
                <w:sz w:val="20"/>
                <w:szCs w:val="20"/>
              </w:rPr>
              <w:t xml:space="preserve">AI insights, anomaly detection, health score, executive control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1533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1533"/>
                <w:sz w:val="20"/>
                <w:szCs w:val="20"/>
              </w:rPr>
              <w:t xml:space="preserve">How processes scale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1533"/>
                <w:sz w:val="20"/>
                <w:szCs w:val="20"/>
              </w:rPr>
              <w:t xml:space="preserve">Visual IF/THEN workflow engine, integrations</w:t>
            </w:r>
          </w:p>
        </w:tc>
      </w:tr>
    </w:tbl>
    <w:p>
      <w:pPr>
        <w:pStyle w:val="Heading1"/>
        <w:spacing w:after="180" w:before="360"/>
      </w:pPr>
      <w:r>
        <w:rPr>
          <w:rFonts w:ascii="Georgia" w:cs="Georgia" w:eastAsia="Georgia" w:hAnsi="Georgia"/>
          <w:b/>
          <w:bCs/>
          <w:color w:val="0B1533"/>
          <w:sz w:val="36"/>
          <w:szCs w:val="36"/>
        </w:rPr>
        <w:t xml:space="preserve">3. Technical Architecture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B1533"/>
          <w:sz w:val="28"/>
          <w:szCs w:val="28"/>
        </w:rPr>
        <w:t xml:space="preserve">3.1 Stack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Frontend: React 18 + TypeScript + Vite; Tailwind design system; Framer Motion; mobile-first responsive.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Backend: PostgreSQL (Supabase) with strict row-level security; Edge Functions (Deno) for stateless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Real-time: Postgres LISTEN/NOTIFY + Supabase Realtime for messaging, presence, and live dashboards.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Video: LiveKit for meetings; WebRTC; scalable SFU.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AI: Lovable AI Gateway abstracting frontier models (OpenAI, Anthropic, Google) with per-org routing and cost governance.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Storage: Supabase Storage with signed URLs and per-tenant buckets.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Deployment: Cloudflare Workers / Pages for edge distribution; multi-region data planes on the roadmap.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B1533"/>
          <w:sz w:val="28"/>
          <w:szCs w:val="28"/>
        </w:rPr>
        <w:t xml:space="preserve">3.2 Multi-tenant model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tenancy hierarchy is Organization → Department → User. Every table is tenant-scoped via a mandatory org_id column and enforced by row-level security policies at the database level. A user's effective role is resolved server-side via a security-definer function to prevent privilege-escalation attacks. Roles: Owner, Executive, Manager, Staff, Contractor, HR, Accountant, Auditor.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B1533"/>
          <w:sz w:val="28"/>
          <w:szCs w:val="28"/>
        </w:rPr>
        <w:t xml:space="preserve">3.3 Data graph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operational entity — person, task, message, document, decision, meeting, transaction — is represented as a first-class node linked by typed relationships. This uniform substrate is what enables cross-module intelligence: an AI insight about an under-utilized engineer draws from attendance, task, project, and messaging data with no separate integration layer.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B1533"/>
          <w:sz w:val="28"/>
          <w:szCs w:val="28"/>
        </w:rPr>
        <w:t xml:space="preserve">3.4 AI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Model routing — requests are dispatched to the most cost-effective frontier model that meets latency and quality thresholds.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Retrieval — a per-tenant vector index is built from the graph, ensuring AI answers are grounded in the organization's own reality.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Governance — every AI decision is logged with model, prompt, temperature, output, and user acceptance signal for audit.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Suggestive-only — AI never performs irreversible actions autonomously; all writes require human confirmation.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B1533"/>
          <w:sz w:val="28"/>
          <w:szCs w:val="28"/>
        </w:rPr>
        <w:t xml:space="preserve">3.5 Security &amp;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 isolation — enforced at the database via RLS; regularly audited by an automated linter in CI.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Authentication — email + password with MFA; OAuth via Google; SSO/SAML on the roadmap.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Encryption — TLS 1.3 in transit; AES-256 at rest; per-tenant encryption for sensitive HR and finance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Compliance targets — SOC 2 Type II (Year 2), ISO 27001 (Year 3), GDPR/CCPA/POPIA/NDPR from day one via data-residency configuration.</w:t>
      </w:r>
    </w:p>
    <w:p>
      <w:pPr>
        <w:pStyle w:val="Heading1"/>
        <w:spacing w:after="180" w:before="360"/>
      </w:pPr>
      <w:r>
        <w:rPr>
          <w:rFonts w:ascii="Georgia" w:cs="Georgia" w:eastAsia="Georgia" w:hAnsi="Georgia"/>
          <w:b/>
          <w:bCs/>
          <w:color w:val="0B1533"/>
          <w:sz w:val="36"/>
          <w:szCs w:val="36"/>
        </w:rPr>
        <w:t xml:space="preserve">4. Product Roadmap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B1533"/>
          <w:sz w:val="28"/>
          <w:szCs w:val="28"/>
        </w:rPr>
        <w:t xml:space="preserve">Year 1 — Foundation &amp; Design Partners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Harden the ten core modules already in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Ship the Executive Control Center v2 with weighted Health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Launch Partner Connect for inter-organization workflows.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SOC 2 Type I preparation.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B1533"/>
          <w:sz w:val="28"/>
          <w:szCs w:val="28"/>
        </w:rPr>
        <w:t xml:space="preserve">Year 2 — Scale &amp;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Vertical editions: Professional Services, Hospitality, Education.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Advanced workflow automation with AI-generated pipelines.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Marketplace for third-party modules and integrations.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SOC 2 Type II certification; EU data plane launch.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B1533"/>
          <w:sz w:val="28"/>
          <w:szCs w:val="28"/>
        </w:rPr>
        <w:t xml:space="preserve">Year 3 — Platform &amp; Ecosystem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Public API and SDK for partners and integrators.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AI agent framework for organization-specific autonomous workflows (human-in-the-loop).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ISO 27001; multi-region data planes (US, EU, MENA, APAC, SSA).</w:t>
      </w:r>
    </w:p>
    <w:p>
      <w:pPr>
        <w:pStyle w:val="Heading1"/>
        <w:spacing w:after="180" w:before="360"/>
      </w:pPr>
      <w:r>
        <w:rPr>
          <w:rFonts w:ascii="Georgia" w:cs="Georgia" w:eastAsia="Georgia" w:hAnsi="Georgia"/>
          <w:b/>
          <w:bCs/>
          <w:color w:val="0B1533"/>
          <w:sz w:val="36"/>
          <w:szCs w:val="36"/>
        </w:rPr>
        <w:t xml:space="preserve">5. Engineering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Ship in small, reversible increments; feature-flag everything customer-facing.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Prefer database-enforced invariants over application-layer checks.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AI feature ships with a control (on/off, per-org, per-role) and a review surface.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Observability, not intuition — every module emits activity events for the intelligence layer.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A6172"/>
        <w:sz w:val="14"/>
        <w:szCs w:val="14"/>
      </w:rPr>
      <w:t xml:space="preserve">Soteria AI Technologies Limited</w:t>
    </w:r>
    <w:r>
      <w:rPr>
        <w:rFonts w:ascii="Calibri" w:cs="Calibri" w:eastAsia="Calibri" w:hAnsi="Calibri"/>
        <w:color w:val="5A6172"/>
        <w:sz w:val="14"/>
        <w:szCs w:val="14"/>
      </w:rPr>
      <w:t xml:space="preserve">	Page </w:t>
    </w:r>
    <w:r>
      <w:rPr>
        <w:rFonts w:ascii="Calibri" w:cs="Calibri" w:eastAsia="Calibri" w:hAnsi="Calibri"/>
        <w:color w:val="5A6172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5A6172"/>
        <w:spacing w:val="80"/>
        <w:sz w:val="14"/>
        <w:szCs w:val="14"/>
      </w:rPr>
      <w:t xml:space="preserve">GLOBAL OFFICE  ·  CONFIDENTIAL  ·  INVESTOR MATERIAL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Georgia" w:cs="Georgia" w:eastAsia="Georgia" w:hAnsi="Georgia"/>
      <w:b/>
      <w:bCs/>
      <w:color w:val="0B15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Georgia" w:cs="Georgia" w:eastAsia="Georgia" w:hAnsi="Georgia"/>
      <w:b/>
      <w:bCs/>
      <w:color w:val="0B15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2026-07-13T10:28:41.648Z</dcterms:created>
  <dcterms:modified xsi:type="dcterms:W3CDTF">2026-07-13T10:28:41.648Z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