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Corporate Profile</w:t>
      </w:r>
    </w:p>
    <w:p>
      <w:pPr>
        <w:spacing w:after="120"/>
      </w:pPr>
      <w:r>
        <w:t xml:space="preserve">Global Office — a product of Soteria AI Technologies Inc.</w:t>
      </w:r>
    </w:p>
    <w:p>
      <w:pPr>
        <w:pBdr>
          <w:bottom w:val="single" w:color="0B1533" w:sz="6" w:space="1"/>
        </w:pBdr>
      </w:pPr>
    </w:p>
    <w:p>
      <w:pPr>
        <w:spacing w:after="60" w:before="200"/>
      </w:pPr>
      <w:r>
        <w:rPr>
          <w:b/>
          <w:bCs/>
          <w:color w:val="B8892E"/>
          <w:spacing w:val="40"/>
          <w:sz w:val="18"/>
          <w:szCs w:val="18"/>
        </w:rPr>
        <w:t xml:space="preserve">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0B1533" w:val="clear"/>
            <w:tcMar>
              <w:top w:type="dxa" w:w="100"/>
              <w:left w:type="dxa" w:w="140"/>
              <w:bottom w:type="dxa" w:w="100"/>
              <w:right w:type="dxa" w:w="140"/>
            </w:tcMar>
          </w:tcPr>
          <w:p>
            <w:r>
              <w:rPr>
                <w:b/>
                <w:bCs/>
                <w:color w:val="FFFFFF"/>
                <w:sz w:val="20"/>
                <w:szCs w:val="20"/>
              </w:rPr>
              <w:t xml:space="preserve">Attribute</w:t>
            </w:r>
          </w:p>
        </w:tc>
        <w:tc>
          <w:tcPr>
            <w:tcW w:type="dxa" w:w="6200"/>
            <w:tcBorders>
              <w:top w:val="single" w:color="CCCCCC" w:sz="6"/>
              <w:left w:val="single" w:color="CCCCCC" w:sz="6"/>
              <w:bottom w:val="single" w:color="CCCCCC" w:sz="6"/>
              <w:right w:val="single" w:color="CCCCCC" w:sz="6"/>
            </w:tcBorders>
            <w:shd w:fill="0B1533" w:val="clear"/>
            <w:tcMar>
              <w:top w:type="dxa" w:w="100"/>
              <w:left w:type="dxa" w:w="140"/>
              <w:bottom w:type="dxa" w:w="100"/>
              <w:right w:type="dxa" w:w="140"/>
            </w:tcMar>
          </w:tcPr>
          <w:p>
            <w:r>
              <w:rPr>
                <w:b/>
                <w:bCs/>
                <w:color w:val="FFFFFF"/>
                <w:sz w:val="20"/>
                <w:szCs w:val="20"/>
              </w:rPr>
              <w:t xml:space="preserve">Detail</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Legal entity</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Soteria AI Technologies Inc.</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Product</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Global Office — AI Business Operating System</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Founder &amp; CEO</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Wisdom Jonathans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Category</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AI-BOS (Business Operating System)</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Stage</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Pre-seed · Pre-launch</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Launch markets</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Nigeria · Kenya · South Africa · Ghana (Year 1)</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Expansion</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UK / EU by Year 2 · Global enterprise by Year 3</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Ask</w:t>
            </w:r>
          </w:p>
        </w:tc>
        <w:tc>
          <w:tcPr>
            <w:tcW w:type="dxa" w:w="6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$1.5M pre-seed for 18–24 months runway</w:t>
            </w:r>
          </w:p>
        </w:tc>
      </w:tr>
    </w:tbl>
    <w:p>
      <w:pPr>
        <w:pStyle w:val="Heading1"/>
      </w:pPr>
      <w:r>
        <w:t xml:space="preserve">Who we are</w:t>
      </w:r>
    </w:p>
    <w:p>
      <w:pPr>
        <w:spacing w:after="120"/>
      </w:pPr>
      <w:r>
        <w:t xml:space="preserve">Global Office is the operating system for the intelligent enterprise. We are building an AI-native platform that unifies the twenty-plus tools an average business runs on — attendance, execution, communication, knowledge, HR, finance, meetings, and executive intelligence — into a single, coherent, observable workspace.</w:t>
      </w:r>
    </w:p>
    <w:p>
      <w:pPr>
        <w:spacing w:after="120"/>
      </w:pPr>
      <w:r>
        <w:t xml:space="preserve">Soteria AI Technologies Inc. is the operating company. Global Office is its category-defining product. We are headquartered in Lagos with an operating footprint across Nairobi, Johannesburg, and Accra, and remote engineering and operations spanning the African diaspora.</w:t>
      </w:r>
    </w:p>
    <w:p>
      <w:pPr>
        <w:pStyle w:val="Heading1"/>
      </w:pPr>
      <w:r>
        <w:t xml:space="preserve">What we believe</w:t>
      </w:r>
    </w:p>
    <w:p>
      <w:pPr>
        <w:pStyle w:val="ListParagraph"/>
        <w:numPr>
          <w:ilvl w:val="0"/>
          <w:numId w:val="2"/>
        </w:numPr>
        <w:spacing w:after="80"/>
      </w:pPr>
      <w:r>
        <w:t xml:space="preserve">Every organization on earth needs an operating system — and it will not be a better CRM.</w:t>
      </w:r>
    </w:p>
    <w:p>
      <w:pPr>
        <w:pStyle w:val="ListParagraph"/>
        <w:numPr>
          <w:ilvl w:val="0"/>
          <w:numId w:val="2"/>
        </w:numPr>
        <w:spacing w:after="80"/>
      </w:pPr>
      <w:r>
        <w:t xml:space="preserve">The coherence problem inside modern businesses is a graph problem, not a module problem.</w:t>
      </w:r>
    </w:p>
    <w:p>
      <w:pPr>
        <w:pStyle w:val="ListParagraph"/>
        <w:numPr>
          <w:ilvl w:val="0"/>
          <w:numId w:val="2"/>
        </w:numPr>
        <w:spacing w:after="80"/>
      </w:pPr>
      <w:r>
        <w:t xml:space="preserve">AI without a substrate is entertainment. AI on top of an organizational graph is leverage.</w:t>
      </w:r>
    </w:p>
    <w:p>
      <w:pPr>
        <w:pStyle w:val="ListParagraph"/>
        <w:numPr>
          <w:ilvl w:val="0"/>
          <w:numId w:val="2"/>
        </w:numPr>
        <w:spacing w:after="80"/>
      </w:pPr>
      <w:r>
        <w:t xml:space="preserve">The next global category leader in enterprise software will be born outside Silicon Valley.</w:t>
      </w:r>
    </w:p>
    <w:p>
      <w:pPr>
        <w:pStyle w:val="ListParagraph"/>
        <w:numPr>
          <w:ilvl w:val="0"/>
          <w:numId w:val="2"/>
        </w:numPr>
        <w:spacing w:after="80"/>
      </w:pPr>
      <w:r>
        <w:t xml:space="preserve">Emerging-market SMEs deserve first-class software, not stripped-down enterprise editions.</w:t>
      </w:r>
    </w:p>
    <w:p>
      <w:pPr>
        <w:pStyle w:val="Heading1"/>
      </w:pPr>
      <w:r>
        <w:t xml:space="preserve">What we build</w:t>
      </w:r>
    </w:p>
    <w:p>
      <w:pPr>
        <w:pStyle w:val="Heading2"/>
      </w:pPr>
      <w:r>
        <w:t xml:space="preserve">Ten integrated modules, one substrate</w:t>
      </w:r>
    </w:p>
    <w:p>
      <w:pPr>
        <w:pStyle w:val="ListParagraph"/>
        <w:numPr>
          <w:ilvl w:val="0"/>
          <w:numId w:val="2"/>
        </w:numPr>
        <w:spacing w:after="80"/>
      </w:pPr>
      <w:r>
        <w:t xml:space="preserve">Attendance &amp; leave management with intelligent policy enforcement</w:t>
      </w:r>
    </w:p>
    <w:p>
      <w:pPr>
        <w:pStyle w:val="ListParagraph"/>
        <w:numPr>
          <w:ilvl w:val="0"/>
          <w:numId w:val="2"/>
        </w:numPr>
        <w:spacing w:after="80"/>
      </w:pPr>
      <w:r>
        <w:t xml:space="preserve">Execution engine — projects, tasks, workload balancing, kanban</w:t>
      </w:r>
    </w:p>
    <w:p>
      <w:pPr>
        <w:pStyle w:val="ListParagraph"/>
        <w:numPr>
          <w:ilvl w:val="0"/>
          <w:numId w:val="2"/>
        </w:numPr>
        <w:spacing w:after="80"/>
      </w:pPr>
      <w:r>
        <w:t xml:space="preserve">Communication hub — channels, threads, cross-organization Partner Connect</w:t>
      </w:r>
    </w:p>
    <w:p>
      <w:pPr>
        <w:pStyle w:val="ListParagraph"/>
        <w:numPr>
          <w:ilvl w:val="0"/>
          <w:numId w:val="2"/>
        </w:numPr>
        <w:spacing w:after="80"/>
      </w:pPr>
      <w:r>
        <w:t xml:space="preserve">Knowledge management with digital signatures and version control</w:t>
      </w:r>
    </w:p>
    <w:p>
      <w:pPr>
        <w:pStyle w:val="ListParagraph"/>
        <w:numPr>
          <w:ilvl w:val="0"/>
          <w:numId w:val="2"/>
        </w:numPr>
        <w:spacing w:after="80"/>
      </w:pPr>
      <w:r>
        <w:t xml:space="preserve">Executive control center with weighted organizational Health Score</w:t>
      </w:r>
    </w:p>
    <w:p>
      <w:pPr>
        <w:pStyle w:val="ListParagraph"/>
        <w:numPr>
          <w:ilvl w:val="0"/>
          <w:numId w:val="2"/>
        </w:numPr>
        <w:spacing w:after="80"/>
      </w:pPr>
      <w:r>
        <w:t xml:space="preserve">Workflow automation via visual IF/THEN pipeline</w:t>
      </w:r>
    </w:p>
    <w:p>
      <w:pPr>
        <w:pStyle w:val="ListParagraph"/>
        <w:numPr>
          <w:ilvl w:val="0"/>
          <w:numId w:val="2"/>
        </w:numPr>
        <w:spacing w:after="80"/>
      </w:pPr>
      <w:r>
        <w:t xml:space="preserve">Meetings and AI transcription via LiveKit</w:t>
      </w:r>
    </w:p>
    <w:p>
      <w:pPr>
        <w:pStyle w:val="ListParagraph"/>
        <w:numPr>
          <w:ilvl w:val="0"/>
          <w:numId w:val="2"/>
        </w:numPr>
        <w:spacing w:after="80"/>
      </w:pPr>
      <w:r>
        <w:t xml:space="preserve">HR &amp; finance — payroll, performance reviews, hiring pipelines</w:t>
      </w:r>
    </w:p>
    <w:p>
      <w:pPr>
        <w:pStyle w:val="ListParagraph"/>
        <w:numPr>
          <w:ilvl w:val="0"/>
          <w:numId w:val="2"/>
        </w:numPr>
        <w:spacing w:after="80"/>
      </w:pPr>
      <w:r>
        <w:t xml:space="preserve">AI intelligence layer — predictive alerts and suggestive decision support</w:t>
      </w:r>
    </w:p>
    <w:p>
      <w:pPr>
        <w:pStyle w:val="ListParagraph"/>
        <w:numPr>
          <w:ilvl w:val="0"/>
          <w:numId w:val="2"/>
        </w:numPr>
        <w:spacing w:after="80"/>
      </w:pPr>
      <w:r>
        <w:t xml:space="preserve">Multi-tenant admin &amp; billing with feature gating and AI credit metering</w:t>
      </w:r>
    </w:p>
    <w:p>
      <w:pPr>
        <w:pStyle w:val="Heading1"/>
      </w:pPr>
      <w:r>
        <w:t xml:space="preserve">Who we serve</w:t>
      </w:r>
    </w:p>
    <w:p>
      <w:pPr>
        <w:pStyle w:val="Heading2"/>
      </w:pPr>
      <w:r>
        <w:t xml:space="preserve">Wedge ICP</w:t>
      </w:r>
    </w:p>
    <w:p>
      <w:pPr>
        <w:spacing w:after="120"/>
      </w:pPr>
      <w:r>
        <w:t xml:space="preserve">SMEs of 10–250 employees in SSA (Nigeria, Kenya, South Africa, Ghana) that operate professionally, care about coordination, and have outgrown spreadsheets but cannot justify enterprise suite costs.</w:t>
      </w:r>
    </w:p>
    <w:p>
      <w:pPr>
        <w:pStyle w:val="Heading2"/>
      </w:pPr>
      <w:r>
        <w:t xml:space="preserve">Expansion ICP</w:t>
      </w:r>
    </w:p>
    <w:p>
      <w:pPr>
        <w:spacing w:after="120"/>
      </w:pPr>
      <w:r>
        <w:t xml:space="preserve">Mid-market and multi-location organizations, professional services firms, education providers, healthcare organizations, hospitality businesses, government agencies, and international enterprise customers reached via industry-specific editions and partner channels.</w:t>
      </w:r>
    </w:p>
    <w:p>
      <w:pPr>
        <w:pStyle w:val="Heading1"/>
      </w:pPr>
      <w:r>
        <w:t xml:space="preserve">Leadership</w:t>
      </w:r>
    </w:p>
    <w:p>
      <w:pPr>
        <w:spacing w:after="120"/>
      </w:pPr>
      <w:r>
        <w:t xml:space="preserve">Founder &amp; CEO — Wisdom Jonathans. Nigerian entrepreneur, AI systems strategist, and technology founder. Founder and CEO of Soteria AI Technologies Inc.. Previously founded and led Elevate AI, working directly with businesses to apply AI and workflow automation to real operational problems. Publisher of The Strategic Signal. Governance and executive leadership roles across technology ventures, education (Vice Chairman, Exceeding Grace International Aviation College), nonprofit organizations, and faith-based institutions.</w:t>
      </w:r>
    </w:p>
    <w:p>
      <w:pPr>
        <w:spacing w:after="120"/>
      </w:pPr>
      <w:r>
        <w:t xml:space="preserve">Founding-team hires across engineering, product, sales, and customer success are scoped in the use-of-funds and will be executed in the first six months post-close.</w:t>
      </w:r>
    </w:p>
    <w:p>
      <w:pPr>
        <w:pStyle w:val="Heading1"/>
      </w:pPr>
      <w:r>
        <w:t xml:space="preserve">Contact</w:t>
      </w:r>
    </w:p>
    <w:p>
      <w:pPr>
        <w:spacing w:after="120"/>
      </w:pPr>
      <w:r>
        <w:t xml:space="preserve">Founder-led inquiries only at this stage. All investor and partnership introductions are handled through Wisdom Jonathans directly via the channel provided in the introduction email or through https://globaloffice.cloud/investors.</w:t>
      </w:r>
    </w:p>
    <w:p>
      <w:pPr>
        <w:pBdr>
          <w:bottom w:val="single" w:color="0B1533" w:sz="6" w:space="1"/>
        </w:pBdr>
      </w:pPr>
    </w:p>
    <w:p>
      <w:pPr>
        <w:spacing w:after="120"/>
      </w:pPr>
      <w:r>
        <w:t xml:space="preserve">Confidential — Prepared for prospective investors, partners, and stakeholders.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Global Office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0B1533"/>
      <w:sz w:val="44"/>
      <w:szCs w:val="44"/>
    </w:rPr>
  </w:style>
  <w:style w:type="paragraph" w:styleId="Heading1">
    <w:name w:val="Heading 1"/>
    <w:basedOn w:val="Normal"/>
    <w:next w:val="Normal"/>
    <w:qFormat/>
    <w:pPr>
      <w:spacing w:after="180" w:before="360"/>
      <w:outlineLvl w:val="0"/>
    </w:pPr>
    <w:rPr>
      <w:rFonts w:ascii="Arial" w:cs="Arial" w:eastAsia="Arial" w:hAnsi="Arial"/>
      <w:b/>
      <w:bCs/>
      <w:color w:val="0B1533"/>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B15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89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2026-07-15T08:31:05.679Z</dcterms:created>
  <dcterms:modified xsi:type="dcterms:W3CDTF">2026-07-15T08:31:05.679Z</dcterms:modified>
</cp:coreProperties>
</file>

<file path=docProps/custom.xml><?xml version="1.0" encoding="utf-8"?>
<Properties xmlns="http://schemas.openxmlformats.org/officeDocument/2006/custom-properties" xmlns:vt="http://schemas.openxmlformats.org/officeDocument/2006/docPropsVTypes"/>
</file>