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Georgia" w:hAnsi="Georgia"/>
          <w:b/>
          <w:color w:val="0B1533"/>
          <w:sz w:val="72"/>
        </w:rPr>
        <w:t>GLOBAL OFFICE</w:t>
      </w:r>
    </w:p>
    <w:p>
      <w:pPr>
        <w:jc w:val="center"/>
      </w:pPr>
      <w:r>
        <w:rPr>
          <w:rFonts w:ascii="Georgia" w:hAnsi="Georgia"/>
          <w:i/>
          <w:color w:val="C9A24C"/>
          <w:sz w:val="36"/>
        </w:rPr>
        <w:t>Investment Memorandum</w:t>
      </w:r>
    </w:p>
    <w:p>
      <w:pPr>
        <w:jc w:val="center"/>
      </w:pPr>
      <w:r>
        <w:rPr>
          <w:rFonts w:ascii="Georgia" w:hAnsi="Georgia"/>
          <w:color w:val="4A5568"/>
          <w:sz w:val="24"/>
        </w:rPr>
        <w:t>$1.5M Pre-Seed — Base Case</w:t>
      </w:r>
    </w:p>
    <w:p/>
    <w:p/>
    <w:p/>
    <w:p/>
    <w:p/>
    <w:p/>
    <w:p/>
    <w:p/>
    <w:p>
      <w:pPr>
        <w:jc w:val="center"/>
      </w:pPr>
      <w:r>
        <w:rPr>
          <w:rFonts w:ascii="Georgia" w:hAnsi="Georgia"/>
          <w:i/>
          <w:color w:val="1A1F2C"/>
          <w:sz w:val="22"/>
        </w:rPr>
        <w:t>The case for backing an AI-native operating system.</w:t>
      </w:r>
    </w:p>
    <w:p/>
    <w:p/>
    <w:p/>
    <w:p/>
    <w:p/>
    <w:p/>
    <w:p>
      <w:pPr>
        <w:jc w:val="center"/>
      </w:pPr>
      <w:r>
        <w:rPr>
          <w:i/>
          <w:color w:val="4A5568"/>
          <w:sz w:val="18"/>
        </w:rPr>
        <w:t>Confidential — For institutional investor review only</w:t>
      </w:r>
    </w:p>
    <w:p>
      <w:r>
        <w:br w:type="page"/>
      </w:r>
    </w:p>
    <w:p>
      <w:pPr>
        <w:spacing w:before="360" w:after="120"/>
        <w:pBdr>
          <w:bottom w:val="single" w:sz="6" w:space="4" w:color="C9A24C"/>
        </w:pBdr>
      </w:pPr>
      <w:r>
        <w:rPr>
          <w:rFonts w:ascii="Georgia" w:hAnsi="Georgia"/>
          <w:b/>
          <w:color w:val="0B1533"/>
          <w:sz w:val="40"/>
        </w:rPr>
        <w:t>1. The Ask</w:t>
      </w:r>
    </w:p>
    <w:p>
      <w:pPr>
        <w:spacing w:line="336" w:lineRule="auto"/>
      </w:pPr>
      <w:r>
        <w:rPr>
          <w:rFonts w:ascii="Georgia" w:hAnsi="Georgia"/>
          <w:i w:val="0"/>
          <w:sz w:val="22"/>
        </w:rPr>
        <w:t>Global Office is raising $1.5M pre-seed to execute the Year 1 plan: deliver first ~120 paying organizations across developed markets, validate unit economics at $220 ARPU with ~72% gross margin, and reach a seed-ready commercial milestone within 12–18 months.</w:t>
      </w:r>
    </w:p>
    <w:p>
      <w:pPr>
        <w:spacing w:before="360" w:after="120"/>
        <w:pBdr>
          <w:bottom w:val="single" w:sz="6" w:space="4" w:color="C9A24C"/>
        </w:pBdr>
      </w:pPr>
      <w:r>
        <w:rPr>
          <w:rFonts w:ascii="Georgia" w:hAnsi="Georgia"/>
          <w:b/>
          <w:color w:val="0B1533"/>
          <w:sz w:val="40"/>
        </w:rPr>
        <w:t>2. Thesis</w:t>
      </w:r>
    </w:p>
    <w:p>
      <w:pPr>
        <w:spacing w:line="336" w:lineRule="auto"/>
      </w:pPr>
      <w:r>
        <w:rPr>
          <w:rFonts w:ascii="Georgia" w:hAnsi="Georgia"/>
          <w:i w:val="0"/>
          <w:sz w:val="22"/>
        </w:rPr>
        <w:t>The productivity stack is being rewritten around AI. Incumbent suites will bolt AI onto siloed apps. Point tools will add copilots. Neither can collapse into an integrated operating fabric without cannibalizing themselves. Global Office is being built greenfield in that middle, with a data graph that improves with every module a customer adopts.</w:t>
      </w:r>
    </w:p>
    <w:p>
      <w:pPr>
        <w:spacing w:before="360" w:after="120"/>
        <w:pBdr>
          <w:bottom w:val="single" w:sz="6" w:space="4" w:color="C9A24C"/>
        </w:pBdr>
      </w:pPr>
      <w:r>
        <w:rPr>
          <w:rFonts w:ascii="Georgia" w:hAnsi="Georgia"/>
          <w:b/>
          <w:color w:val="0B1533"/>
          <w:sz w:val="40"/>
        </w:rPr>
        <w:t>3. Why Now</w:t>
      </w:r>
    </w:p>
    <w:p>
      <w:pPr>
        <w:pStyle w:val="ListBullet"/>
      </w:pPr>
      <w:r>
        <w:rPr>
          <w:sz w:val="22"/>
        </w:rPr>
      </w:r>
      <w:r>
        <w:rPr>
          <w:rFonts w:ascii="Georgia" w:hAnsi="Georgia"/>
          <w:sz w:val="22"/>
        </w:rPr>
        <w:t>Foundation models are finally good enough for cross-module reasoning at production cost.</w:t>
      </w:r>
    </w:p>
    <w:p>
      <w:pPr>
        <w:pStyle w:val="ListBullet"/>
      </w:pPr>
      <w:r>
        <w:rPr>
          <w:sz w:val="22"/>
        </w:rPr>
      </w:r>
      <w:r>
        <w:rPr>
          <w:rFonts w:ascii="Georgia" w:hAnsi="Georgia"/>
          <w:sz w:val="22"/>
        </w:rPr>
        <w:t>Post-2023 SaaS discipline is actively consolidating tool sprawl.</w:t>
      </w:r>
    </w:p>
    <w:p>
      <w:pPr>
        <w:pStyle w:val="ListBullet"/>
      </w:pPr>
      <w:r>
        <w:rPr>
          <w:sz w:val="22"/>
        </w:rPr>
      </w:r>
      <w:r>
        <w:rPr>
          <w:rFonts w:ascii="Georgia" w:hAnsi="Georgia"/>
          <w:sz w:val="22"/>
        </w:rPr>
        <w:t>Distributed work made single-plane operating tools table-stakes.</w:t>
      </w:r>
    </w:p>
    <w:p>
      <w:pPr>
        <w:pStyle w:val="ListBullet"/>
      </w:pPr>
      <w:r>
        <w:rPr>
          <w:sz w:val="22"/>
        </w:rPr>
      </w:r>
      <w:r>
        <w:rPr>
          <w:rFonts w:ascii="Georgia" w:hAnsi="Georgia"/>
          <w:sz w:val="22"/>
        </w:rPr>
        <w:t>Privacy regimes reward strict tenant isolation — a first-class primitive here.</w:t>
      </w:r>
    </w:p>
    <w:p>
      <w:pPr>
        <w:spacing w:before="360" w:after="120"/>
        <w:pBdr>
          <w:bottom w:val="single" w:sz="6" w:space="4" w:color="C9A24C"/>
        </w:pBdr>
      </w:pPr>
      <w:r>
        <w:rPr>
          <w:rFonts w:ascii="Georgia" w:hAnsi="Georgia"/>
          <w:b/>
          <w:color w:val="0B1533"/>
          <w:sz w:val="40"/>
        </w:rPr>
        <w:t>4. Market</w:t>
      </w:r>
    </w:p>
    <w:p>
      <w:pPr>
        <w:spacing w:line="336" w:lineRule="auto"/>
      </w:pPr>
      <w:r>
        <w:rPr>
          <w:rFonts w:ascii="Georgia" w:hAnsi="Georgia"/>
          <w:i w:val="0"/>
          <w:sz w:val="22"/>
        </w:rPr>
        <w:t>$180B+ aggregate spend across digital workplace, work management, HR tech, and communication by 2027 (Gartner, IDC, 2024). SAM for our developed-market SMB ICP is ~$38B. 0.5% share = ~$570M ARR, roughly 40× Year 3 base-case revenue in this plan.</w:t>
      </w:r>
    </w:p>
    <w:p>
      <w:pPr>
        <w:spacing w:before="360" w:after="120"/>
        <w:pBdr>
          <w:bottom w:val="single" w:sz="6" w:space="4" w:color="C9A24C"/>
        </w:pBdr>
      </w:pPr>
      <w:r>
        <w:rPr>
          <w:rFonts w:ascii="Georgia" w:hAnsi="Georgia"/>
          <w:b/>
          <w:color w:val="0B1533"/>
          <w:sz w:val="40"/>
        </w:rPr>
        <w:t>5. Product</w:t>
      </w:r>
    </w:p>
    <w:p>
      <w:pPr>
        <w:spacing w:line="336" w:lineRule="auto"/>
      </w:pPr>
      <w:r>
        <w:rPr>
          <w:rFonts w:ascii="Georgia" w:hAnsi="Georgia"/>
          <w:i w:val="0"/>
          <w:sz w:val="22"/>
        </w:rPr>
        <w:t>Ten integrated modules (attendance, execution, communication, meetings, documents, HR, finance, announcements, intelligence, workflow automation) with an AI insights layer that observes cross-module activity and produces suggestive alerts. Live product; multi-tenant with strict row-level isolation and role-based access.</w:t>
      </w:r>
    </w:p>
    <w:p>
      <w:pPr>
        <w:spacing w:before="360" w:after="120"/>
        <w:pBdr>
          <w:bottom w:val="single" w:sz="6" w:space="4" w:color="C9A24C"/>
        </w:pBdr>
      </w:pPr>
      <w:r>
        <w:rPr>
          <w:rFonts w:ascii="Georgia" w:hAnsi="Georgia"/>
          <w:b/>
          <w:color w:val="0B1533"/>
          <w:sz w:val="40"/>
        </w:rPr>
        <w:t>6. Business Model</w:t>
      </w:r>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rPr>
                <w:b/>
              </w:rPr>
            </w:r>
          </w:p>
        </w:tc>
        <w:tc>
          <w:tcPr>
            <w:tcW w:type="dxa" w:w="2268"/>
          </w:tcPr>
          <w:p>
            <w:r>
              <w:rPr>
                <w:b/>
              </w:rPr>
              <w:t>Year 1</w:t>
            </w:r>
          </w:p>
        </w:tc>
        <w:tc>
          <w:tcPr>
            <w:tcW w:type="dxa" w:w="2268"/>
          </w:tcPr>
          <w:p>
            <w:r>
              <w:rPr>
                <w:b/>
              </w:rPr>
              <w:t>Year 2</w:t>
            </w:r>
          </w:p>
        </w:tc>
        <w:tc>
          <w:tcPr>
            <w:tcW w:type="dxa" w:w="2268"/>
          </w:tcPr>
          <w:p>
            <w:r>
              <w:rPr>
                <w:b/>
              </w:rPr>
              <w:t>Year 3</w:t>
            </w:r>
          </w:p>
        </w:tc>
      </w:tr>
      <w:tr>
        <w:tc>
          <w:tcPr>
            <w:tcW w:type="dxa" w:w="2268"/>
          </w:tcPr>
          <w:p>
            <w:r>
              <w:t>Paying orgs (EoY)</w:t>
            </w:r>
          </w:p>
        </w:tc>
        <w:tc>
          <w:tcPr>
            <w:tcW w:type="dxa" w:w="2268"/>
          </w:tcPr>
          <w:p>
            <w:r>
              <w:t>120</w:t>
            </w:r>
          </w:p>
        </w:tc>
        <w:tc>
          <w:tcPr>
            <w:tcW w:type="dxa" w:w="2268"/>
          </w:tcPr>
          <w:p>
            <w:r>
              <w:t>900</w:t>
            </w:r>
          </w:p>
        </w:tc>
        <w:tc>
          <w:tcPr>
            <w:tcW w:type="dxa" w:w="2268"/>
          </w:tcPr>
          <w:p>
            <w:r>
              <w:t>3,600</w:t>
            </w:r>
          </w:p>
        </w:tc>
      </w:tr>
      <w:tr>
        <w:tc>
          <w:tcPr>
            <w:tcW w:type="dxa" w:w="2268"/>
          </w:tcPr>
          <w:p>
            <w:r>
              <w:t>ARR (EoY)</w:t>
            </w:r>
          </w:p>
        </w:tc>
        <w:tc>
          <w:tcPr>
            <w:tcW w:type="dxa" w:w="2268"/>
          </w:tcPr>
          <w:p>
            <w:r>
              <w:t>$0.32M</w:t>
            </w:r>
          </w:p>
        </w:tc>
        <w:tc>
          <w:tcPr>
            <w:tcW w:type="dxa" w:w="2268"/>
          </w:tcPr>
          <w:p>
            <w:r>
              <w:t>$2.81M</w:t>
            </w:r>
          </w:p>
        </w:tc>
        <w:tc>
          <w:tcPr>
            <w:tcW w:type="dxa" w:w="2268"/>
          </w:tcPr>
          <w:p>
            <w:r>
              <w:t>$12.96M</w:t>
            </w:r>
          </w:p>
        </w:tc>
      </w:tr>
      <w:tr>
        <w:tc>
          <w:tcPr>
            <w:tcW w:type="dxa" w:w="2268"/>
          </w:tcPr>
          <w:p>
            <w:r>
              <w:t>Gross margin</w:t>
            </w:r>
          </w:p>
        </w:tc>
        <w:tc>
          <w:tcPr>
            <w:tcW w:type="dxa" w:w="2268"/>
          </w:tcPr>
          <w:p>
            <w:r>
              <w:t>72%</w:t>
            </w:r>
          </w:p>
        </w:tc>
        <w:tc>
          <w:tcPr>
            <w:tcW w:type="dxa" w:w="2268"/>
          </w:tcPr>
          <w:p>
            <w:r>
              <w:t>76%</w:t>
            </w:r>
          </w:p>
        </w:tc>
        <w:tc>
          <w:tcPr>
            <w:tcW w:type="dxa" w:w="2268"/>
          </w:tcPr>
          <w:p>
            <w:r>
              <w:t>80%</w:t>
            </w:r>
          </w:p>
        </w:tc>
      </w:tr>
    </w:tbl>
    <w:p>
      <w:pPr>
        <w:spacing w:before="360" w:after="120"/>
        <w:pBdr>
          <w:bottom w:val="single" w:sz="6" w:space="4" w:color="C9A24C"/>
        </w:pBdr>
      </w:pPr>
      <w:r>
        <w:rPr>
          <w:rFonts w:ascii="Georgia" w:hAnsi="Georgia"/>
          <w:b/>
          <w:color w:val="0B1533"/>
          <w:sz w:val="40"/>
        </w:rPr>
        <w:t>7. Unit Economics (Year 3, base)</w:t>
      </w:r>
    </w:p>
    <w:p>
      <w:pPr>
        <w:pStyle w:val="ListBullet"/>
      </w:pPr>
      <w:r>
        <w:rPr>
          <w:sz w:val="22"/>
        </w:rPr>
      </w:r>
      <w:r>
        <w:rPr>
          <w:rFonts w:ascii="Georgia" w:hAnsi="Georgia"/>
          <w:sz w:val="22"/>
        </w:rPr>
        <w:t>Blended CAC: ~$1,150 per org</w:t>
      </w:r>
    </w:p>
    <w:p>
      <w:pPr>
        <w:pStyle w:val="ListBullet"/>
      </w:pPr>
      <w:r>
        <w:rPr>
          <w:sz w:val="22"/>
        </w:rPr>
      </w:r>
      <w:r>
        <w:rPr>
          <w:rFonts w:ascii="Georgia" w:hAnsi="Georgia"/>
          <w:sz w:val="22"/>
        </w:rPr>
        <w:t>LTV : CAC: ~9x</w:t>
      </w:r>
    </w:p>
    <w:p>
      <w:pPr>
        <w:pStyle w:val="ListBullet"/>
      </w:pPr>
      <w:r>
        <w:rPr>
          <w:sz w:val="22"/>
        </w:rPr>
      </w:r>
      <w:r>
        <w:rPr>
          <w:rFonts w:ascii="Georgia" w:hAnsi="Georgia"/>
          <w:sz w:val="22"/>
        </w:rPr>
        <w:t>CAC payback: ~5.7 months</w:t>
      </w:r>
    </w:p>
    <w:p>
      <w:pPr>
        <w:pStyle w:val="ListBullet"/>
      </w:pPr>
      <w:r>
        <w:rPr>
          <w:sz w:val="22"/>
        </w:rPr>
      </w:r>
      <w:r>
        <w:rPr>
          <w:rFonts w:ascii="Georgia" w:hAnsi="Georgia"/>
          <w:sz w:val="22"/>
        </w:rPr>
        <w:t>Net revenue retention: ~115%</w:t>
      </w:r>
    </w:p>
    <w:p>
      <w:pPr>
        <w:pStyle w:val="ListBullet"/>
      </w:pPr>
      <w:r>
        <w:rPr>
          <w:sz w:val="22"/>
        </w:rPr>
      </w:r>
      <w:r>
        <w:rPr>
          <w:rFonts w:ascii="Georgia" w:hAnsi="Georgia"/>
          <w:sz w:val="22"/>
        </w:rPr>
        <w:t>Rule of 40: ~365% growth + ~5% EBITDA → well above threshold</w:t>
      </w:r>
    </w:p>
    <w:p>
      <w:pPr>
        <w:spacing w:before="360" w:after="120"/>
        <w:pBdr>
          <w:bottom w:val="single" w:sz="6" w:space="4" w:color="C9A24C"/>
        </w:pBdr>
      </w:pPr>
      <w:r>
        <w:rPr>
          <w:rFonts w:ascii="Georgia" w:hAnsi="Georgia"/>
          <w:b/>
          <w:color w:val="0B1533"/>
          <w:sz w:val="40"/>
        </w:rPr>
        <w:t>8. Competitive Position</w:t>
      </w:r>
    </w:p>
    <w:p>
      <w:pPr>
        <w:spacing w:line="336" w:lineRule="auto"/>
      </w:pPr>
      <w:r>
        <w:rPr>
          <w:rFonts w:ascii="Georgia" w:hAnsi="Georgia"/>
          <w:i w:val="0"/>
          <w:sz w:val="22"/>
        </w:rPr>
        <w:t>Suites (Microsoft 365, Google Workspace) cannot collapse SKUs. Work management tools (Monday, Asana, ClickUp) lack HR/finance/communication depth and AI signal. Communication platforms (Slack, Teams) lack the operating fabric. Vertical AI copilots solve one workflow each. Global Office is the integrated middle.</w:t>
      </w:r>
    </w:p>
    <w:p>
      <w:pPr>
        <w:spacing w:before="360" w:after="120"/>
        <w:pBdr>
          <w:bottom w:val="single" w:sz="6" w:space="4" w:color="C9A24C"/>
        </w:pBdr>
      </w:pPr>
      <w:r>
        <w:rPr>
          <w:rFonts w:ascii="Georgia" w:hAnsi="Georgia"/>
          <w:b/>
          <w:color w:val="0B1533"/>
          <w:sz w:val="40"/>
        </w:rPr>
        <w:t>9. Moat</w:t>
      </w:r>
    </w:p>
    <w:p>
      <w:pPr>
        <w:pStyle w:val="ListBullet"/>
      </w:pPr>
      <w:r>
        <w:rPr>
          <w:sz w:val="22"/>
        </w:rPr>
      </w:r>
      <w:r>
        <w:rPr>
          <w:rFonts w:ascii="Georgia" w:hAnsi="Georgia"/>
          <w:sz w:val="22"/>
        </w:rPr>
        <w:t>Cross-module data graph — replication requires rebuilding every incumbent's siloed dataset.</w:t>
      </w:r>
    </w:p>
    <w:p>
      <w:pPr>
        <w:pStyle w:val="ListBullet"/>
      </w:pPr>
      <w:r>
        <w:rPr>
          <w:sz w:val="22"/>
        </w:rPr>
      </w:r>
      <w:r>
        <w:rPr>
          <w:rFonts w:ascii="Georgia" w:hAnsi="Georgia"/>
          <w:sz w:val="22"/>
        </w:rPr>
        <w:t>Workflow automation and OKR history compound switching cost month over month.</w:t>
      </w:r>
    </w:p>
    <w:p>
      <w:pPr>
        <w:pStyle w:val="ListBullet"/>
      </w:pPr>
      <w:r>
        <w:rPr>
          <w:sz w:val="22"/>
        </w:rPr>
      </w:r>
      <w:r>
        <w:rPr>
          <w:rFonts w:ascii="Georgia" w:hAnsi="Georgia"/>
          <w:sz w:val="22"/>
        </w:rPr>
        <w:t>Partner Connect creates inter-organization network effects.</w:t>
      </w:r>
    </w:p>
    <w:p>
      <w:pPr>
        <w:pStyle w:val="ListBullet"/>
      </w:pPr>
      <w:r>
        <w:rPr>
          <w:sz w:val="22"/>
        </w:rPr>
      </w:r>
      <w:r>
        <w:rPr>
          <w:rFonts w:ascii="Georgia" w:hAnsi="Georgia"/>
          <w:sz w:val="22"/>
        </w:rPr>
        <w:t>Category ownership — first credible 'AI-native operating system' brand wins.</w:t>
      </w:r>
    </w:p>
    <w:p>
      <w:pPr>
        <w:spacing w:before="360" w:after="120"/>
        <w:pBdr>
          <w:bottom w:val="single" w:sz="6" w:space="4" w:color="C9A24C"/>
        </w:pBdr>
      </w:pPr>
      <w:r>
        <w:rPr>
          <w:rFonts w:ascii="Georgia" w:hAnsi="Georgia"/>
          <w:b/>
          <w:color w:val="0B1533"/>
          <w:sz w:val="40"/>
        </w:rPr>
        <w:t>10. Team</w:t>
      </w:r>
    </w:p>
    <w:p>
      <w:pPr>
        <w:spacing w:line="336" w:lineRule="auto"/>
      </w:pPr>
      <w:r>
        <w:rPr>
          <w:rFonts w:ascii="Georgia" w:hAnsi="Georgia"/>
          <w:i w:val="0"/>
          <w:sz w:val="22"/>
        </w:rPr>
        <w:t>Wisdom Jonathans — Founder &amp; CEO, Global Office (product of Soteria AI Technologies Inc.). Domain depth in operations, AI systems, and multi-tenant architecture. Full bio and hiring plan in the Strategic Business Plan.</w:t>
      </w:r>
    </w:p>
    <w:p>
      <w:pPr>
        <w:spacing w:before="360" w:after="120"/>
        <w:pBdr>
          <w:bottom w:val="single" w:sz="6" w:space="4" w:color="C9A24C"/>
        </w:pBdr>
      </w:pPr>
      <w:r>
        <w:rPr>
          <w:rFonts w:ascii="Georgia" w:hAnsi="Georgia"/>
          <w:b/>
          <w:color w:val="0B1533"/>
          <w:sz w:val="40"/>
        </w:rPr>
        <w:t>11. Use of Proceeds ($1.5M)</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Pr>
                <w:b/>
              </w:rPr>
              <w:t>Line</w:t>
            </w:r>
          </w:p>
        </w:tc>
        <w:tc>
          <w:tcPr>
            <w:tcW w:type="dxa" w:w="3024"/>
          </w:tcPr>
          <w:p>
            <w:r>
              <w:rPr>
                <w:b/>
              </w:rPr>
              <w:t>Allocation</w:t>
            </w:r>
          </w:p>
        </w:tc>
        <w:tc>
          <w:tcPr>
            <w:tcW w:type="dxa" w:w="3024"/>
          </w:tcPr>
          <w:p>
            <w:r>
              <w:rPr>
                <w:b/>
              </w:rPr>
              <w:t>% of Round</w:t>
            </w:r>
          </w:p>
        </w:tc>
      </w:tr>
      <w:tr>
        <w:tc>
          <w:tcPr>
            <w:tcW w:type="dxa" w:w="3024"/>
          </w:tcPr>
          <w:p>
            <w:r>
              <w:t>Engineering &amp; product</w:t>
            </w:r>
          </w:p>
        </w:tc>
        <w:tc>
          <w:tcPr>
            <w:tcW w:type="dxa" w:w="3024"/>
          </w:tcPr>
          <w:p>
            <w:r>
              <w:t>$600,000</w:t>
            </w:r>
          </w:p>
        </w:tc>
        <w:tc>
          <w:tcPr>
            <w:tcW w:type="dxa" w:w="3024"/>
          </w:tcPr>
          <w:p>
            <w:r>
              <w:t>40%</w:t>
            </w:r>
          </w:p>
        </w:tc>
      </w:tr>
      <w:tr>
        <w:tc>
          <w:tcPr>
            <w:tcW w:type="dxa" w:w="3024"/>
          </w:tcPr>
          <w:p>
            <w:r>
              <w:t>Sales &amp; marketing</w:t>
            </w:r>
          </w:p>
        </w:tc>
        <w:tc>
          <w:tcPr>
            <w:tcW w:type="dxa" w:w="3024"/>
          </w:tcPr>
          <w:p>
            <w:r>
              <w:t>$450,000</w:t>
            </w:r>
          </w:p>
        </w:tc>
        <w:tc>
          <w:tcPr>
            <w:tcW w:type="dxa" w:w="3024"/>
          </w:tcPr>
          <w:p>
            <w:r>
              <w:t>30%</w:t>
            </w:r>
          </w:p>
        </w:tc>
      </w:tr>
      <w:tr>
        <w:tc>
          <w:tcPr>
            <w:tcW w:type="dxa" w:w="3024"/>
          </w:tcPr>
          <w:p>
            <w:r>
              <w:t>Founding operations &amp; G&amp;A</w:t>
            </w:r>
          </w:p>
        </w:tc>
        <w:tc>
          <w:tcPr>
            <w:tcW w:type="dxa" w:w="3024"/>
          </w:tcPr>
          <w:p>
            <w:r>
              <w:t>$180,000</w:t>
            </w:r>
          </w:p>
        </w:tc>
        <w:tc>
          <w:tcPr>
            <w:tcW w:type="dxa" w:w="3024"/>
          </w:tcPr>
          <w:p>
            <w:r>
              <w:t>12%</w:t>
            </w:r>
          </w:p>
        </w:tc>
      </w:tr>
      <w:tr>
        <w:tc>
          <w:tcPr>
            <w:tcW w:type="dxa" w:w="3024"/>
          </w:tcPr>
          <w:p>
            <w:r>
              <w:t>Infrastructure, AI credits, tooling</w:t>
            </w:r>
          </w:p>
        </w:tc>
        <w:tc>
          <w:tcPr>
            <w:tcW w:type="dxa" w:w="3024"/>
          </w:tcPr>
          <w:p>
            <w:r>
              <w:t>$150,000</w:t>
            </w:r>
          </w:p>
        </w:tc>
        <w:tc>
          <w:tcPr>
            <w:tcW w:type="dxa" w:w="3024"/>
          </w:tcPr>
          <w:p>
            <w:r>
              <w:t>10%</w:t>
            </w:r>
          </w:p>
        </w:tc>
      </w:tr>
      <w:tr>
        <w:tc>
          <w:tcPr>
            <w:tcW w:type="dxa" w:w="3024"/>
          </w:tcPr>
          <w:p>
            <w:r>
              <w:t>Contingency &amp; reserve</w:t>
            </w:r>
          </w:p>
        </w:tc>
        <w:tc>
          <w:tcPr>
            <w:tcW w:type="dxa" w:w="3024"/>
          </w:tcPr>
          <w:p>
            <w:r>
              <w:t>$120,000</w:t>
            </w:r>
          </w:p>
        </w:tc>
        <w:tc>
          <w:tcPr>
            <w:tcW w:type="dxa" w:w="3024"/>
          </w:tcPr>
          <w:p>
            <w:r>
              <w:t>8%</w:t>
            </w:r>
          </w:p>
        </w:tc>
      </w:tr>
    </w:tbl>
    <w:p>
      <w:pPr>
        <w:spacing w:before="360" w:after="120"/>
        <w:pBdr>
          <w:bottom w:val="single" w:sz="6" w:space="4" w:color="C9A24C"/>
        </w:pBdr>
      </w:pPr>
      <w:r>
        <w:rPr>
          <w:rFonts w:ascii="Georgia" w:hAnsi="Georgia"/>
          <w:b/>
          <w:color w:val="0B1533"/>
          <w:sz w:val="40"/>
        </w:rPr>
        <w:t>12. Milestones to Seed</w:t>
      </w:r>
    </w:p>
    <w:p>
      <w:pPr>
        <w:pStyle w:val="ListBullet"/>
      </w:pPr>
      <w:r>
        <w:rPr>
          <w:sz w:val="22"/>
        </w:rPr>
      </w:r>
      <w:r>
        <w:rPr>
          <w:rFonts w:ascii="Georgia" w:hAnsi="Georgia"/>
          <w:sz w:val="22"/>
        </w:rPr>
        <w:t>~120 paying organizations in Tier-1 developed markets.</w:t>
      </w:r>
    </w:p>
    <w:p>
      <w:pPr>
        <w:pStyle w:val="ListBullet"/>
      </w:pPr>
      <w:r>
        <w:rPr>
          <w:sz w:val="22"/>
        </w:rPr>
      </w:r>
      <w:r>
        <w:rPr>
          <w:rFonts w:ascii="Georgia" w:hAnsi="Georgia"/>
          <w:sz w:val="22"/>
        </w:rPr>
        <w:t>Gross margin ≥70%, CAC payback &lt;12 months, NRR ≥100%.</w:t>
      </w:r>
    </w:p>
    <w:p>
      <w:pPr>
        <w:pStyle w:val="ListBullet"/>
      </w:pPr>
      <w:r>
        <w:rPr>
          <w:sz w:val="22"/>
        </w:rPr>
      </w:r>
      <w:r>
        <w:rPr>
          <w:rFonts w:ascii="Georgia" w:hAnsi="Georgia"/>
          <w:sz w:val="22"/>
        </w:rPr>
        <w:t>SOC 2 Type I initiated; regional data-residency options scoped.</w:t>
      </w:r>
    </w:p>
    <w:p>
      <w:pPr>
        <w:pStyle w:val="ListBullet"/>
      </w:pPr>
      <w:r>
        <w:rPr>
          <w:sz w:val="22"/>
        </w:rPr>
      </w:r>
      <w:r>
        <w:rPr>
          <w:rFonts w:ascii="Georgia" w:hAnsi="Georgia"/>
          <w:sz w:val="22"/>
        </w:rPr>
        <w:t>Repeatable inbound + outbound motion with ≥3 partner channel signings.</w:t>
      </w:r>
    </w:p>
    <w:p>
      <w:pPr>
        <w:spacing w:before="360" w:after="120"/>
        <w:pBdr>
          <w:bottom w:val="single" w:sz="6" w:space="4" w:color="C9A24C"/>
        </w:pBdr>
      </w:pPr>
      <w:r>
        <w:rPr>
          <w:rFonts w:ascii="Georgia" w:hAnsi="Georgia"/>
          <w:b/>
          <w:color w:val="0B1533"/>
          <w:sz w:val="40"/>
        </w:rPr>
        <w:t>13. Risks</w:t>
      </w:r>
    </w:p>
    <w:p>
      <w:pPr>
        <w:spacing w:line="336" w:lineRule="auto"/>
      </w:pPr>
      <w:r>
        <w:rPr>
          <w:rFonts w:ascii="Georgia" w:hAnsi="Georgia"/>
          <w:i w:val="0"/>
          <w:color w:val="4A5568"/>
          <w:sz w:val="22"/>
        </w:rPr>
        <w:t>Full risk register in the Strategic Business Plan. Principal risks: foundation-model cost inflation, enterprise sales-cycle length, hyperscaler consolidation, data-residency regulation, founder-team concentration. Each is addressed in the mitigation register.</w:t>
      </w:r>
    </w:p>
    <w:p>
      <w:pPr>
        <w:spacing w:before="360" w:after="120"/>
        <w:pBdr>
          <w:bottom w:val="single" w:sz="6" w:space="4" w:color="C9A24C"/>
        </w:pBdr>
      </w:pPr>
      <w:r>
        <w:rPr>
          <w:rFonts w:ascii="Georgia" w:hAnsi="Georgia"/>
          <w:b/>
          <w:color w:val="0B1533"/>
          <w:sz w:val="40"/>
        </w:rPr>
        <w:t>14. Terms</w:t>
      </w:r>
    </w:p>
    <w:p>
      <w:pPr>
        <w:spacing w:line="336" w:lineRule="auto"/>
      </w:pPr>
      <w:r>
        <w:rPr>
          <w:rFonts w:ascii="Georgia" w:hAnsi="Georgia"/>
          <w:i w:val="0"/>
          <w:color w:val="4A5568"/>
          <w:sz w:val="22"/>
        </w:rPr>
        <w:t>Instrument, valuation range, and pro-rata terms provided under NDA in the accompanying term sheet package.</w:t>
      </w:r>
    </w:p>
    <w:p>
      <w:pPr>
        <w:spacing w:before="360" w:after="120"/>
        <w:pBdr>
          <w:bottom w:val="single" w:sz="6" w:space="4" w:color="C9A24C"/>
        </w:pBdr>
      </w:pPr>
      <w:r>
        <w:rPr>
          <w:rFonts w:ascii="Georgia" w:hAnsi="Georgia"/>
          <w:b/>
          <w:color w:val="0B1533"/>
          <w:sz w:val="40"/>
        </w:rPr>
        <w:t>15. Materials</w:t>
      </w:r>
    </w:p>
    <w:p>
      <w:pPr>
        <w:pStyle w:val="ListBullet"/>
      </w:pPr>
      <w:r>
        <w:rPr>
          <w:sz w:val="22"/>
        </w:rPr>
      </w:r>
      <w:r>
        <w:rPr>
          <w:rFonts w:ascii="Georgia" w:hAnsi="Georgia"/>
          <w:sz w:val="22"/>
        </w:rPr>
        <w:t>Strategic Business Plan (this package)</w:t>
      </w:r>
    </w:p>
    <w:p>
      <w:pPr>
        <w:pStyle w:val="ListBullet"/>
      </w:pPr>
      <w:r>
        <w:rPr>
          <w:sz w:val="22"/>
        </w:rPr>
      </w:r>
      <w:r>
        <w:rPr>
          <w:rFonts w:ascii="Georgia" w:hAnsi="Georgia"/>
          <w:sz w:val="22"/>
        </w:rPr>
        <w:t>Three-Year Financial Model (XLSX)</w:t>
      </w:r>
    </w:p>
    <w:p>
      <w:pPr>
        <w:pStyle w:val="ListBullet"/>
      </w:pPr>
      <w:r>
        <w:rPr>
          <w:sz w:val="22"/>
        </w:rPr>
      </w:r>
      <w:r>
        <w:rPr>
          <w:rFonts w:ascii="Georgia" w:hAnsi="Georgia"/>
          <w:sz w:val="22"/>
        </w:rPr>
        <w:t>Investor Deck (PPTX) + speaker notes</w:t>
      </w:r>
    </w:p>
    <w:p>
      <w:pPr>
        <w:pStyle w:val="ListBullet"/>
      </w:pPr>
      <w:r>
        <w:rPr>
          <w:sz w:val="22"/>
        </w:rPr>
      </w:r>
      <w:r>
        <w:rPr>
          <w:rFonts w:ascii="Georgia" w:hAnsi="Georgia"/>
          <w:sz w:val="22"/>
        </w:rPr>
        <w:t>Pitch scripts — elevator, 5-minute, 10-minute, 30-minute</w:t>
      </w:r>
    </w:p>
    <w:p>
      <w:pPr>
        <w:pStyle w:val="ListBullet"/>
      </w:pPr>
      <w:r>
        <w:rPr>
          <w:sz w:val="22"/>
        </w:rPr>
      </w:r>
      <w:r>
        <w:rPr>
          <w:rFonts w:ascii="Georgia" w:hAnsi="Georgia"/>
          <w:sz w:val="22"/>
        </w:rPr>
        <w:t>Data room access on request</w:t>
      </w:r>
    </w:p>
    <w:p>
      <w:pPr>
        <w:jc w:val="center"/>
      </w:pPr>
      <w:r>
        <w:drawing>
          <wp:inline xmlns:a="http://schemas.openxmlformats.org/drawingml/2006/main" xmlns:pic="http://schemas.openxmlformats.org/drawingml/2006/picture">
            <wp:extent cx="5669280" cy="3185088"/>
            <wp:docPr id="1" name="Picture 1"/>
            <wp:cNvGraphicFramePr>
              <a:graphicFrameLocks noChangeAspect="1"/>
            </wp:cNvGraphicFramePr>
            <a:graphic>
              <a:graphicData uri="http://schemas.openxmlformats.org/drawingml/2006/picture">
                <pic:pic>
                  <pic:nvPicPr>
                    <pic:cNvPr id="0" name="executive.png"/>
                    <pic:cNvPicPr/>
                  </pic:nvPicPr>
                  <pic:blipFill>
                    <a:blip r:embed="rId9"/>
                    <a:stretch>
                      <a:fillRect/>
                    </a:stretch>
                  </pic:blipFill>
                  <pic:spPr>
                    <a:xfrm>
                      <a:off x="0" y="0"/>
                      <a:ext cx="5669280" cy="3185088"/>
                    </a:xfrm>
                    <a:prstGeom prst="rect"/>
                  </pic:spPr>
                </pic:pic>
              </a:graphicData>
            </a:graphic>
          </wp:inline>
        </w:drawing>
      </w:r>
    </w:p>
    <w:p>
      <w:pPr>
        <w:jc w:val="center"/>
      </w:pPr>
      <w:r>
        <w:rPr>
          <w:i/>
        </w:rPr>
        <w:t>Global Office — AI Executive Control Center (live product)</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24"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