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b/>
          <w:bCs/>
          <w:color w:val="0B1533"/>
          <w:spacing w:val="120"/>
          <w:sz w:val="36"/>
          <w:szCs w:val="36"/>
        </w:rPr>
        <w:t xml:space="preserve">GLOBAL OFFICE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172"/>
          <w:sz w:val="16"/>
          <w:szCs w:val="16"/>
        </w:rPr>
        <w:t xml:space="preserve">The AI Business Operating System · Investor One-Pager · Confidential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Georgia" w:cs="Georgia" w:eastAsia="Georgia" w:hAnsi="Georgia"/>
          <w:i/>
          <w:iCs/>
          <w:color w:val="0B1533"/>
          <w:sz w:val="26"/>
          <w:szCs w:val="26"/>
        </w:rPr>
        <w:t xml:space="preserve">One intelligent surface for how modern organizations actually work.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COMPANY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Office (a product of Soteria AI Technologies Inc.) is building the AI Business Operating System — a single, AI-native surface unifying attendance, execution, communication, knowledge, HR, finance, meetings, and executive intelligence.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Generative AI has crossed the utility threshold — ~$2.6–4.4T annual productivity value at stake (McKinsey,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SaaS unbundling has run its course; the rebundling window — historically the moment new category leaders emerge — is open.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SME digitization: ~400M SMEs worldwide, ~90% of employment (World Bank), rapidly ready for consolidated software.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MARKET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application software: $340B (2025) → $460B (2028) [IDC]. AI-native application layer: $18B → $92B (50%+ CAGR). Serviceable market for Global Office: ~$48.8B blended global SAM. 5-year SOM target: ~$170M ARR (0.35% capture).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PRODUCT &amp; MOAT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Ten integrated modules on one unified data graph — every entity is a first-class node.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Intelligence layer that observes and suggests across the whole organization, not per-app.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Suggestive-only AI — auditable, reversible; addresses enterprise AI-governance risk.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Mobile-first, global-first: multi-currency, multi-language, local payroll/tax, low-bandwidth optimized.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BUSINESS MODEL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Per-seat SaaS subscription: Standard $12/user/mo, Business $22/user/mo, Enterprise custom. AI usage metered above included credits. Gross margin target 78–82% at scale. Blended Year-3 ARPU: $220/org/mo.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TRACTION &amp; STAGE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Pre-seed, pre-launch. Ten production-ready modules built. Design-partner cohort forming across US, UK, and Nigeria. Founder-market fit: Wisdom Jonathans, prior AI systems and organizational leadership experience.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FINANCIAL FRAMEWORK (BASE CASE)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Yr 1: 120 orgs, ~$0.32M ARR. Yr 2: 900 orgs, ~$2.4M ARR. Yr 3: 3,600 orgs, ~$13.0M ARR. Break-even late Yr 3. Bear / Base / Bull sensitivity modeled.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ASK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Raising $1.5M pre-seed for 18–24 months of runway. Use of funds: 50% product &amp; engineering, 25% go-to-market and design-partner acquisition, 15% compliance (SOC 2), 10% operating reserve. Milestones: 1,000 paying orgs, $2M+ ARR, SOC 2 Type I, Series-A ready.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TEAM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Wisdom Jonathans — Founder &amp; CEO, Soteria AI Technologies. AI systems strategist and technology founder focused on intelligent platforms for large-scale operational challenges. Founding engineering and design team in place.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CONTACT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investors@globaloffice.ai · Full data room and materials available on request.</w:t>
      </w:r>
    </w:p>
    <w:p>
      <w:pPr>
        <w:pBdr>
          <w:bottom w:val="single" w:color="0B153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5A6172"/>
          <w:sz w:val="14"/>
          <w:szCs w:val="14"/>
        </w:rPr>
        <w:t xml:space="preserve">Confidential — prepared for prospective investors. Forward-looking statements reflect strategic assumptions and are not guarantees of future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Global Office — Organization Health Dashboard (live product)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2026-07-13T10:28:41.775Z</dcterms:created>
  <dcterms:modified xsi:type="dcterms:W3CDTF">2026-07-13T10:28:41.775Z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