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b/>
          <w:bCs/>
          <w:color w:val="B8892E"/>
          <w:spacing w:val="60"/>
          <w:sz w:val="16"/>
          <w:szCs w:val="16"/>
        </w:rPr>
        <w:t xml:space="preserve">CONFIDENTIAL — PREPARED FOR PROSPECTIVE INVESTORS</w:t>
      </w:r>
    </w:p>
    <w:p>
      <w:pPr>
        <w:pStyle w:val="Title"/>
      </w:pPr>
      <w:r>
        <w:t xml:space="preserve">Investor FAQ &amp; Objection Handling</w:t>
      </w:r>
    </w:p>
    <w:p>
      <w:pPr>
        <w:spacing w:after="120"/>
      </w:pPr>
      <w:r>
        <w:t xml:space="preserve">Global Office — Pre-seed round · Founder responses for institutional diligence conversations</w:t>
      </w:r>
    </w:p>
    <w:p>
      <w:pPr>
        <w:pBdr>
          <w:bottom w:val="single" w:color="0B1533" w:sz="6" w:space="1"/>
        </w:pBdr>
      </w:pPr>
    </w:p>
    <w:p>
      <w:pPr>
        <w:spacing w:after="60" w:before="200"/>
      </w:pPr>
      <w:r>
        <w:rPr>
          <w:b/>
          <w:bCs/>
          <w:color w:val="B8892E"/>
          <w:spacing w:val="40"/>
          <w:sz w:val="18"/>
          <w:szCs w:val="18"/>
        </w:rPr>
        <w:t xml:space="preserve">HOW TO USE THIS DOCUMENT</w:t>
      </w:r>
    </w:p>
    <w:p>
      <w:pPr>
        <w:spacing w:after="120"/>
      </w:pPr>
      <w:r>
        <w:t xml:space="preserve">Every FAQ is written as the founder would answer it — direct, evidence-backed, and grounded in the same materials in the data room. Objections are answered in the language of the objecting party, not defended around.</w:t>
      </w:r>
    </w:p>
    <w:p>
      <w:pPr>
        <w:pStyle w:val="Heading1"/>
      </w:pPr>
      <w:r>
        <w:t xml:space="preserve">Part I — Frequently Asked Questions</w:t>
      </w:r>
    </w:p>
    <w:p>
      <w:pPr>
        <w:spacing w:after="60" w:before="200"/>
      </w:pPr>
      <w:r>
        <w:rPr>
          <w:b/>
          <w:bCs/>
          <w:color w:val="0B1533"/>
          <w:sz w:val="24"/>
          <w:szCs w:val="24"/>
        </w:rPr>
        <w:t xml:space="preserve">Why now? What has changed?</w:t>
      </w:r>
    </w:p>
    <w:p>
      <w:pPr>
        <w:spacing w:after="120"/>
      </w:pPr>
      <w:r>
        <w:t xml:space="preserve">Three forces have converged. Generative AI crossed the utility threshold in 2023 and unit economics for inference are now viable. SaaS unbundling has fatigued the mid-market and buyers are actively consolidating. Emerging markets — starting with SSA — are digitizing at scale but remain under-served by legacy suites built for Western enterprise shapes of work. This is the first cycle in which one company can plausibly build the operating system for the entire mid-market globally.</w:t>
      </w:r>
    </w:p>
    <w:p>
      <w:pPr>
        <w:spacing w:after="60" w:before="200"/>
      </w:pPr>
      <w:r>
        <w:rPr>
          <w:b/>
          <w:bCs/>
          <w:color w:val="0B1533"/>
          <w:sz w:val="24"/>
          <w:szCs w:val="24"/>
        </w:rPr>
        <w:t xml:space="preserve">Why you? Why is this founder the right person?</w:t>
      </w:r>
    </w:p>
    <w:p>
      <w:pPr>
        <w:spacing w:after="120"/>
      </w:pPr>
      <w:r>
        <w:t xml:space="preserve">Wisdom Jonathans has spent the last several years operating at the exact intersection this company requires: AI systems, business operations, and organizational leadership. Through Elevate AI he worked directly with SMEs applying AI and workflow automation to real operational problems — that is where the coherence problem surfaced. He publishes The Strategic Signal, holds governance roles across technology, education, and nonprofit institutions, and has demonstrated the capacity to build systems that survive contact with reality. Founder–market fit is the strongest defensible early-stage signal in this thesis.</w:t>
      </w:r>
    </w:p>
    <w:p>
      <w:pPr>
        <w:spacing w:after="60" w:before="200"/>
      </w:pPr>
      <w:r>
        <w:rPr>
          <w:b/>
          <w:bCs/>
          <w:color w:val="0B1533"/>
          <w:sz w:val="24"/>
          <w:szCs w:val="24"/>
        </w:rPr>
        <w:t xml:space="preserve">Isn't this just another CRM / ERP / collaboration suite?</w:t>
      </w:r>
    </w:p>
    <w:p>
      <w:pPr>
        <w:spacing w:after="120"/>
      </w:pPr>
      <w:r>
        <w:t xml:space="preserve">No. CRMs organize customer records. ERPs organize resources. Collaboration suites organize messages and files. Global Office organizes the organization itself — every person, task, message, document, decision, and outcome as nodes in one graph, observed by one intelligence layer. The category is AI-BOS — Business Operating System — and it is orthogonal to every horizontal SaaS category that exists today.</w:t>
      </w:r>
    </w:p>
    <w:p>
      <w:pPr>
        <w:spacing w:after="60" w:before="200"/>
      </w:pPr>
      <w:r>
        <w:rPr>
          <w:b/>
          <w:bCs/>
          <w:color w:val="0B1533"/>
          <w:sz w:val="24"/>
          <w:szCs w:val="24"/>
        </w:rPr>
        <w:t xml:space="preserve">What stops Microsoft, Google, or Salesforce from doing this?</w:t>
      </w:r>
    </w:p>
    <w:p>
      <w:pPr>
        <w:spacing w:after="120"/>
      </w:pPr>
      <w:r>
        <w:t xml:space="preserve">Three structural reasons. First, cannibalization: their revenue depends on the fragmentation Global Office collapses; they cannot rebundle without eating their own moats. Second, architecture: bolting AI onto a stack of acquisitions is not equivalent to designing an AI-native graph from day one. Third, market shape: the emerging-market wedge is outside their commercial attention, giving Global Office a protected base to compound before incumbent response.</w:t>
      </w:r>
    </w:p>
    <w:p>
      <w:pPr>
        <w:spacing w:after="60" w:before="200"/>
      </w:pPr>
      <w:r>
        <w:rPr>
          <w:b/>
          <w:bCs/>
          <w:color w:val="0B1533"/>
          <w:sz w:val="24"/>
          <w:szCs w:val="24"/>
        </w:rPr>
        <w:t xml:space="preserve">Why start in Sub-Saharan Africa if the market is global?</w:t>
      </w:r>
    </w:p>
    <w:p>
      <w:pPr>
        <w:spacing w:after="120"/>
      </w:pPr>
      <w:r>
        <w:t xml:space="preserve">The wedge chooses itself: 90%+ of employment in SSA sits inside SMEs; mobile-first infrastructure has leapfrogged legacy IT; no incumbent has built a category-defining operating layer for this base. From there Global Office expands along the trajectory that produced Shopify, MercadoLibre, and Nubank — category creators born outside Silicon Valley who reached global scale. Being global-first as a strategy does not mean US-first as a market.</w:t>
      </w:r>
    </w:p>
    <w:p>
      <w:pPr>
        <w:spacing w:after="60" w:before="200"/>
      </w:pPr>
      <w:r>
        <w:rPr>
          <w:b/>
          <w:bCs/>
          <w:color w:val="0B1533"/>
          <w:sz w:val="24"/>
          <w:szCs w:val="24"/>
        </w:rPr>
        <w:t xml:space="preserve">What is the traction? Are there paying customers?</w:t>
      </w:r>
    </w:p>
    <w:p>
      <w:pPr>
        <w:spacing w:after="120"/>
      </w:pPr>
      <w:r>
        <w:t xml:space="preserve">This is pre-launch, pre-revenue by design. Product readiness is deep (20 integrated modules built), the design-partner pipeline is active under NDA, and commercial launch is scheduled inside the runway of this pre-seed round. The investment thesis is founder–market fit, product readiness, and market timing — the exact posture Endeavor and DFI-backed pre-seed rounds are structured against.</w:t>
      </w:r>
    </w:p>
    <w:p>
      <w:pPr>
        <w:spacing w:after="60" w:before="200"/>
      </w:pPr>
      <w:r>
        <w:rPr>
          <w:b/>
          <w:bCs/>
          <w:color w:val="0B1533"/>
          <w:sz w:val="24"/>
          <w:szCs w:val="24"/>
        </w:rPr>
        <w:t xml:space="preserve">Why $1.5M? What does it get you?</w:t>
      </w:r>
    </w:p>
    <w:p>
      <w:pPr>
        <w:spacing w:after="120"/>
      </w:pPr>
      <w:r>
        <w:t xml:space="preserve">18–24 months of runway to reach seed-ready. Commercial launch across four SSA markets; a design-partner cohort with reference cases; a predictable and repeatable customer-acquisition motion; measurable product-market fit signals (retention, NPS, NRR); a growing base of paying customers; and platform + org readiness for the seed round. Use of funds is documented in the financial model.</w:t>
      </w:r>
    </w:p>
    <w:p>
      <w:pPr>
        <w:spacing w:after="60" w:before="200"/>
      </w:pPr>
      <w:r>
        <w:rPr>
          <w:b/>
          <w:bCs/>
          <w:color w:val="0B1533"/>
          <w:sz w:val="24"/>
          <w:szCs w:val="24"/>
        </w:rPr>
        <w:t xml:space="preserve">What is the valuation?</w:t>
      </w:r>
    </w:p>
    <w:p>
      <w:pPr>
        <w:spacing w:after="120"/>
      </w:pPr>
      <w:r>
        <w:t xml:space="preserve">Set at the strategic-investor conversation, based on market validation, investor value-add, and round composition. We are optimizing for the right partners at this stage, not the highest number.</w:t>
      </w:r>
    </w:p>
    <w:p>
      <w:pPr>
        <w:spacing w:after="60" w:before="200"/>
      </w:pPr>
      <w:r>
        <w:rPr>
          <w:b/>
          <w:bCs/>
          <w:color w:val="0B1533"/>
          <w:sz w:val="24"/>
          <w:szCs w:val="24"/>
        </w:rPr>
        <w:t xml:space="preserve">How do you monetize? What does pricing look like?</w:t>
      </w:r>
    </w:p>
    <w:p>
      <w:pPr>
        <w:spacing w:after="120"/>
      </w:pPr>
      <w:r>
        <w:t xml:space="preserve">Four-tier SaaS packaging (Free · Starter · Business · Enterprise) charged per active seat with AI credit metering for high-intensity workloads. Marketplace revenue from third-party workflow modules and integrations follows once the platform reaches distribution scale. Pricing is documented in the financial model with sensitivity analysis.</w:t>
      </w:r>
    </w:p>
    <w:p>
      <w:pPr>
        <w:spacing w:after="60" w:before="200"/>
      </w:pPr>
      <w:r>
        <w:rPr>
          <w:b/>
          <w:bCs/>
          <w:color w:val="0B1533"/>
          <w:sz w:val="24"/>
          <w:szCs w:val="24"/>
        </w:rPr>
        <w:t xml:space="preserve">What are the unit economics?</w:t>
      </w:r>
    </w:p>
    <w:p>
      <w:pPr>
        <w:spacing w:after="120"/>
      </w:pPr>
      <w:r>
        <w:t xml:space="preserve">Gross margin target 84–88% at steady state (SaaS median). CAC 6–14 months payback range depending on segment. Logo retention 88–94%. Net revenue retention 115–135% driven by seat expansion and AI credit expansion. Every figure is a strategic assumption disclosed as such and defended in the model.</w:t>
      </w:r>
    </w:p>
    <w:p>
      <w:pPr>
        <w:spacing w:after="60" w:before="200"/>
      </w:pPr>
      <w:r>
        <w:rPr>
          <w:b/>
          <w:bCs/>
          <w:color w:val="0B1533"/>
          <w:sz w:val="24"/>
          <w:szCs w:val="24"/>
        </w:rPr>
        <w:t xml:space="preserve">What if a bigger AI-native competitor emerges?</w:t>
      </w:r>
    </w:p>
    <w:p>
      <w:pPr>
        <w:spacing w:after="120"/>
      </w:pPr>
      <w:r>
        <w:t xml:space="preserve">The moat is not the AI model — it is the graph. Every customer that operates on Global Office deposits organizational memory into the graph, and the graph becomes more valuable to that customer with every action. A new entrant does not compete against the product; they compete against years of accumulated organizational context that cannot be exported or replicated.</w:t>
      </w:r>
    </w:p>
    <w:p>
      <w:pPr>
        <w:spacing w:after="60" w:before="200"/>
      </w:pPr>
      <w:r>
        <w:rPr>
          <w:b/>
          <w:bCs/>
          <w:color w:val="0B1533"/>
          <w:sz w:val="24"/>
          <w:szCs w:val="24"/>
        </w:rPr>
        <w:t xml:space="preserve">What is your defensibility beyond software?</w:t>
      </w:r>
    </w:p>
    <w:p>
      <w:pPr>
        <w:spacing w:after="120"/>
      </w:pPr>
      <w:r>
        <w:t xml:space="preserve">Data-network effects on the tenant graph. Workflow-library network effects across tenants. Switching cost through embedded organizational memory. Regulatory readiness in NDPR/GDPR/AI-Act as a positive selection filter. Category ownership through AI-BOS narrative capture.</w:t>
      </w:r>
    </w:p>
    <w:p>
      <w:pPr>
        <w:spacing w:after="60" w:before="200"/>
      </w:pPr>
      <w:r>
        <w:rPr>
          <w:b/>
          <w:bCs/>
          <w:color w:val="0B1533"/>
          <w:sz w:val="24"/>
          <w:szCs w:val="24"/>
        </w:rPr>
        <w:t xml:space="preserve">What are the biggest risks?</w:t>
      </w:r>
    </w:p>
    <w:p>
      <w:pPr>
        <w:spacing w:after="120"/>
      </w:pPr>
      <w:r>
        <w:t xml:space="preserve">Adoption pace in SMEs; incumbent bundling response; execution risk across a broad module surface; AI inference cost inflation; regulatory uncertainty in emerging AI law; talent scarcity in senior engineering and GTM in Africa; capital-cycle correction. Each risk has an explicit mitigation in the risk register.</w:t>
      </w:r>
    </w:p>
    <w:p>
      <w:pPr>
        <w:spacing w:after="60" w:before="200"/>
      </w:pPr>
      <w:r>
        <w:rPr>
          <w:b/>
          <w:bCs/>
          <w:color w:val="0B1533"/>
          <w:sz w:val="24"/>
          <w:szCs w:val="24"/>
        </w:rPr>
        <w:t xml:space="preserve">Is this a venture-scale outcome?</w:t>
      </w:r>
    </w:p>
    <w:p>
      <w:pPr>
        <w:spacing w:after="120"/>
      </w:pPr>
      <w:r>
        <w:t xml:space="preserve">The addressable market is enterprise software — a $700B+ category by 2028 (Gartner). Capturing a fraction of the SME segment inside that category produces a category-leader outcome. Comparable emerging-market-born category leaders (Shopify, MELI, Nubank) have delivered public-market outcomes at $10B–$150B+ market caps. The venture question is not size — it is execution.</w:t>
      </w:r>
    </w:p>
    <w:p>
      <w:pPr>
        <w:spacing w:after="60" w:before="200"/>
      </w:pPr>
      <w:r>
        <w:rPr>
          <w:b/>
          <w:bCs/>
          <w:color w:val="0B1533"/>
          <w:sz w:val="24"/>
          <w:szCs w:val="24"/>
        </w:rPr>
        <w:t xml:space="preserve">What is the exit path?</w:t>
      </w:r>
    </w:p>
    <w:p>
      <w:pPr>
        <w:spacing w:after="120"/>
      </w:pPr>
      <w:r>
        <w:t xml:space="preserve">Strategic acquisition (Microsoft, Google, Salesforce, Zoho, ServiceNow, SAP, Oracle, regional telcos), private equity buyout at ARR scale (Vista, Thoma Bravo), or public-market IPO on the emerging-markets-born category-leader pattern. All three are credible; the company optimizes for durability first and optionality follows.</w:t>
      </w:r>
    </w:p>
    <w:p>
      <w:pPr>
        <w:spacing w:after="60" w:before="200"/>
      </w:pPr>
      <w:r>
        <w:rPr>
          <w:b/>
          <w:bCs/>
          <w:color w:val="0B1533"/>
          <w:sz w:val="24"/>
          <w:szCs w:val="24"/>
        </w:rPr>
        <w:t xml:space="preserve">Why not raise less and stay lean?</w:t>
      </w:r>
    </w:p>
    <w:p>
      <w:pPr>
        <w:spacing w:after="120"/>
      </w:pPr>
      <w:r>
        <w:t xml:space="preserve">Category creation has a minimum efficient scale. Under-capitalizing the launch phase produces a slower design-partner cohort, weaker reference cases, and a compressed window against incumbent response. $1.5M is scoped as the minimum viable amount to reach seed-ready with defensible signals — not a maximization of dilution.</w:t>
      </w:r>
    </w:p>
    <w:p>
      <w:pPr>
        <w:spacing w:after="60" w:before="200"/>
      </w:pPr>
      <w:r>
        <w:rPr>
          <w:b/>
          <w:bCs/>
          <w:color w:val="0B1533"/>
          <w:sz w:val="24"/>
          <w:szCs w:val="24"/>
        </w:rPr>
        <w:t xml:space="preserve">Are you open to strategic investors, DFIs, or corporate partners?</w:t>
      </w:r>
    </w:p>
    <w:p>
      <w:pPr>
        <w:spacing w:after="120"/>
      </w:pPr>
      <w:r>
        <w:t xml:space="preserve">Yes. Variants of the package are available for strategic investors, DFIs, corporate partners, and grant/impact capital. Founder direct engagement is preferred at this stage to ensure alignment before terms.</w:t>
      </w:r>
    </w:p>
    <w:p>
      <w:pPr>
        <w:pStyle w:val="Heading1"/>
      </w:pPr>
      <w:r>
        <w:t xml:space="preserve">Part II — Objection Handling Playbook</w:t>
      </w:r>
    </w:p>
    <w:p>
      <w:pPr>
        <w:spacing w:after="60" w:before="200"/>
      </w:pPr>
      <w:r>
        <w:rPr>
          <w:b/>
          <w:bCs/>
          <w:color w:val="B8892E"/>
          <w:sz w:val="22"/>
          <w:szCs w:val="22"/>
        </w:rPr>
        <w:t xml:space="preserve">Objection: "The market is too small."</w:t>
      </w:r>
    </w:p>
    <w:p>
      <w:pPr>
        <w:spacing w:after="100"/>
      </w:pPr>
      <w:r>
        <w:rPr>
          <w:b/>
          <w:bCs/>
          <w:color w:val="0B1533"/>
        </w:rPr>
        <w:t xml:space="preserve">Response. </w:t>
      </w:r>
      <w:r>
        <w:t xml:space="preserve">Enterprise software is &gt;$700B by 2028 (Gartner). SSA SME software is a wedge, not a ceiling. The trajectory follows Shopify (Canada → global), MELI (Argentina → LatAm → global), Nubank (Brazil → LatAm → global). Global Office's roadmap sequences UK/EU by Year 2 and enterprise by Year 3.</w:t>
      </w:r>
    </w:p>
    <w:p>
      <w:pPr>
        <w:spacing w:after="60" w:before="200"/>
      </w:pPr>
      <w:r>
        <w:rPr>
          <w:b/>
          <w:bCs/>
          <w:color w:val="B8892E"/>
          <w:sz w:val="22"/>
          <w:szCs w:val="22"/>
        </w:rPr>
        <w:t xml:space="preserve">Objection: "Incumbents will crush you."</w:t>
      </w:r>
    </w:p>
    <w:p>
      <w:pPr>
        <w:spacing w:after="100"/>
      </w:pPr>
      <w:r>
        <w:rPr>
          <w:b/>
          <w:bCs/>
          <w:color w:val="0B1533"/>
        </w:rPr>
        <w:t xml:space="preserve">Response. </w:t>
      </w:r>
      <w:r>
        <w:t xml:space="preserve">Incumbents are structurally constrained: rebundling cannibalizes their existing revenue lines; retrofitting acquisitions to an AI-native graph is architecturally impossible without a rewrite; and the emerging-market wedge is outside their commercial attention. Their fastest response is acquisition — which is a founder-favorable exit outcome.</w:t>
      </w:r>
    </w:p>
    <w:p>
      <w:pPr>
        <w:spacing w:after="60" w:before="200"/>
      </w:pPr>
      <w:r>
        <w:rPr>
          <w:b/>
          <w:bCs/>
          <w:color w:val="B8892E"/>
          <w:sz w:val="22"/>
          <w:szCs w:val="22"/>
        </w:rPr>
        <w:t xml:space="preserve">Objection: "Too broad. Focus on one module."</w:t>
      </w:r>
    </w:p>
    <w:p>
      <w:pPr>
        <w:spacing w:after="100"/>
      </w:pPr>
      <w:r>
        <w:rPr>
          <w:b/>
          <w:bCs/>
          <w:color w:val="0B1533"/>
        </w:rPr>
        <w:t xml:space="preserve">Response. </w:t>
      </w:r>
      <w:r>
        <w:t xml:space="preserve">The product surface is broad by design because the coherence problem is a graph problem, not a module problem. Narrowing to one module reproduces the fragmentation the company was built to eliminate. Execution risk is managed through architecture-first design, per-module quality gates, and feature-flag rollouts.</w:t>
      </w:r>
    </w:p>
    <w:p>
      <w:pPr>
        <w:spacing w:after="60" w:before="200"/>
      </w:pPr>
      <w:r>
        <w:rPr>
          <w:b/>
          <w:bCs/>
          <w:color w:val="B8892E"/>
          <w:sz w:val="22"/>
          <w:szCs w:val="22"/>
        </w:rPr>
        <w:t xml:space="preserve">Objection: "Africa is hard for venture returns."</w:t>
      </w:r>
    </w:p>
    <w:p>
      <w:pPr>
        <w:spacing w:after="100"/>
      </w:pPr>
      <w:r>
        <w:rPr>
          <w:b/>
          <w:bCs/>
          <w:color w:val="0B1533"/>
        </w:rPr>
        <w:t xml:space="preserve">Response. </w:t>
      </w:r>
      <w:r>
        <w:t xml:space="preserve">Partech Africa recorded $2.9B in African venture in 2023 with software as a rising share (Partech Africa 2023). Endeavor Insight documents multiple SSA scale-up outcomes. The base is real; the discipline required is capital efficiency, which this plan is built around.</w:t>
      </w:r>
    </w:p>
    <w:p>
      <w:pPr>
        <w:spacing w:after="60" w:before="200"/>
      </w:pPr>
      <w:r>
        <w:rPr>
          <w:b/>
          <w:bCs/>
          <w:color w:val="B8892E"/>
          <w:sz w:val="22"/>
          <w:szCs w:val="22"/>
        </w:rPr>
        <w:t xml:space="preserve">Objection: "AI is a feature, not a company."</w:t>
      </w:r>
    </w:p>
    <w:p>
      <w:pPr>
        <w:spacing w:after="100"/>
      </w:pPr>
      <w:r>
        <w:rPr>
          <w:b/>
          <w:bCs/>
          <w:color w:val="0B1533"/>
        </w:rPr>
        <w:t xml:space="preserve">Response. </w:t>
      </w:r>
      <w:r>
        <w:t xml:space="preserve">Agreed — which is exactly why this is not an AI company. It is an operating-system company that uses AI as the intelligence layer over a persistent graph. The company would exist and matter if inference cost went to zero tomorrow; the graph is the moat, not the model.</w:t>
      </w:r>
    </w:p>
    <w:p>
      <w:pPr>
        <w:spacing w:after="60" w:before="200"/>
      </w:pPr>
      <w:r>
        <w:rPr>
          <w:b/>
          <w:bCs/>
          <w:color w:val="B8892E"/>
          <w:sz w:val="22"/>
          <w:szCs w:val="22"/>
        </w:rPr>
        <w:t xml:space="preserve">Objection: "Pre-launch, pre-revenue is too early."</w:t>
      </w:r>
    </w:p>
    <w:p>
      <w:pPr>
        <w:spacing w:after="100"/>
      </w:pPr>
      <w:r>
        <w:rPr>
          <w:b/>
          <w:bCs/>
          <w:color w:val="0B1533"/>
        </w:rPr>
        <w:t xml:space="preserve">Response. </w:t>
      </w:r>
      <w:r>
        <w:t xml:space="preserve">This is a pre-seed round. Pre-launch is the correct posture for pre-seed. What is not pre-launch: product readiness, market thesis, founder–market fit, and the diligence package supporting all three. Investors who require revenue traction should engage at seed.</w:t>
      </w:r>
    </w:p>
    <w:p>
      <w:pPr>
        <w:spacing w:after="60" w:before="200"/>
      </w:pPr>
      <w:r>
        <w:rPr>
          <w:b/>
          <w:bCs/>
          <w:color w:val="B8892E"/>
          <w:sz w:val="22"/>
          <w:szCs w:val="22"/>
        </w:rPr>
        <w:t xml:space="preserve">Objection: "How do we get liquidity?"</w:t>
      </w:r>
    </w:p>
    <w:p>
      <w:pPr>
        <w:spacing w:after="100"/>
      </w:pPr>
      <w:r>
        <w:rPr>
          <w:b/>
          <w:bCs/>
          <w:color w:val="0B1533"/>
        </w:rPr>
        <w:t xml:space="preserve">Response. </w:t>
      </w:r>
      <w:r>
        <w:t xml:space="preserve">Category-leader outcomes in enterprise software exit through strategic acquisition or IPO on durable ARR. Bain's Global Private Equity Report 2024 documents software as the most durably active buyout category. Optionality is structural to the category.</w:t>
      </w:r>
    </w:p>
    <w:p>
      <w:pPr>
        <w:pStyle w:val="Heading1"/>
      </w:pPr>
      <w:r>
        <w:t xml:space="preserve">Part III — Founder Talking Points</w:t>
      </w:r>
    </w:p>
    <w:p>
      <w:pPr>
        <w:pStyle w:val="Heading2"/>
      </w:pPr>
      <w:r>
        <w:t xml:space="preserve">Opening line (any meeting)</w:t>
      </w:r>
    </w:p>
    <w:p>
      <w:pPr>
        <w:spacing w:after="120"/>
      </w:pPr>
      <w:r>
        <w:t xml:space="preserve">"Modern businesses run on twenty disconnected tools. That is not a productivity problem — it is a coherence problem. Global Office is the operating system built to solve it."</w:t>
      </w:r>
    </w:p>
    <w:p>
      <w:pPr>
        <w:pStyle w:val="Heading2"/>
      </w:pPr>
      <w:r>
        <w:t xml:space="preserve">Closing line (end of meeting)</w:t>
      </w:r>
    </w:p>
    <w:p>
      <w:pPr>
        <w:spacing w:after="120"/>
      </w:pPr>
      <w:r>
        <w:t xml:space="preserve">"The bet is not on a feature or a market. The bet is that every organization on earth will one day run on an operating system, and that operating system will be built by people who understand both the technology and the shape of work in the majority world. That is what we are building."</w:t>
      </w:r>
    </w:p>
    <w:p>
      <w:pPr>
        <w:pStyle w:val="Heading2"/>
      </w:pPr>
      <w:r>
        <w:t xml:space="preserve">When challenged on stage</w:t>
      </w:r>
    </w:p>
    <w:p>
      <w:pPr>
        <w:spacing w:after="120"/>
      </w:pPr>
      <w:r>
        <w:t xml:space="preserve">Concede facts, not thesis. Acknowledge the specific risk the investor raises, describe the specific mitigation in the register, and return to the thesis. Never argue market size — cite Gartner, cite IDC, cite the model, move on.</w:t>
      </w:r>
    </w:p>
    <w:p>
      <w:pPr>
        <w:pBdr>
          <w:bottom w:val="single" w:color="0B1533" w:sz="6" w:space="1"/>
        </w:pBdr>
      </w:pPr>
    </w:p>
    <w:p>
      <w:pPr>
        <w:spacing w:after="120"/>
      </w:pPr>
      <w:r>
        <w:t xml:space="preserve">This document does not constitute an offer to sell securities.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Global Office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Arial" w:cs="Arial" w:eastAsia="Arial" w:hAnsi="Arial"/>
      <w:b/>
      <w:bCs/>
      <w:color w:val="0B1533"/>
      <w:sz w:val="44"/>
      <w:szCs w:val="44"/>
    </w:rPr>
  </w:style>
  <w:style w:type="paragraph" w:styleId="Heading1">
    <w:name w:val="Heading 1"/>
    <w:basedOn w:val="Normal"/>
    <w:next w:val="Normal"/>
    <w:qFormat/>
    <w:pPr>
      <w:spacing w:after="180" w:before="360"/>
      <w:outlineLvl w:val="0"/>
    </w:pPr>
    <w:rPr>
      <w:rFonts w:ascii="Arial" w:cs="Arial" w:eastAsia="Arial" w:hAnsi="Arial"/>
      <w:b/>
      <w:bCs/>
      <w:color w:val="0B1533"/>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0B153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B889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2026-07-15T08:31:05.615Z</dcterms:created>
  <dcterms:modified xsi:type="dcterms:W3CDTF">2026-07-15T08:31:05.615Z</dcterms:modified>
</cp:coreProperties>
</file>

<file path=docProps/custom.xml><?xml version="1.0" encoding="utf-8"?>
<Properties xmlns="http://schemas.openxmlformats.org/officeDocument/2006/custom-properties" xmlns:vt="http://schemas.openxmlformats.org/officeDocument/2006/docPropsVTypes"/>
</file>