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B8892E"/>
          <w:spacing w:val="100"/>
          <w:sz w:val="18"/>
          <w:szCs w:val="18"/>
        </w:rPr>
        <w:t xml:space="preserve">COMPETITIVE ANALYSIS REPORT</w:t>
      </w:r>
    </w:p>
    <w:p>
      <w:pPr>
        <w:spacing w:after="200" w:before="400"/>
      </w:pPr>
      <w:r>
        <w:rPr>
          <w:rFonts w:ascii="Georgia" w:cs="Georgia" w:eastAsia="Georgia" w:hAnsi="Georgia"/>
          <w:b/>
          <w:bCs/>
          <w:color w:val="0B1533"/>
          <w:sz w:val="64"/>
          <w:szCs w:val="64"/>
        </w:rPr>
        <w:t xml:space="preserve">Competitive Analysis</w:t>
      </w:r>
    </w:p>
    <w:p>
      <w:pPr>
        <w:spacing w:after="400"/>
      </w:pPr>
      <w:r>
        <w:rPr>
          <w:rFonts w:ascii="Georgia" w:cs="Georgia" w:eastAsia="Georgia" w:hAnsi="Georgia"/>
          <w:i/>
          <w:iCs/>
          <w:color w:val="0B1533"/>
          <w:sz w:val="28"/>
          <w:szCs w:val="28"/>
        </w:rPr>
        <w:t xml:space="preserve">Positioning, pricing, and white space across the operational software landscape</w:t>
      </w:r>
    </w:p>
    <w:p>
      <w:pPr>
        <w:pBdr>
          <w:bottom w:val="single" w:color="0B1533" w:sz="6" w:space="1"/>
        </w:pBdr>
        <w:spacing w:after="120"/>
      </w:pPr>
    </w:p>
    <w:p>
      <w:pPr>
        <w:spacing w:after="120"/>
      </w:pPr>
      <w:r>
        <w:rPr>
          <w:rFonts w:ascii="Calibri" w:cs="Calibri" w:eastAsia="Calibri" w:hAnsi="Calibri"/>
          <w:i/>
          <w:iCs/>
          <w:color w:val="5A6172"/>
          <w:sz w:val="22"/>
          <w:szCs w:val="22"/>
        </w:rPr>
        <w:t xml:space="preserve">Prepared by Global Office, a product of Soteria AI Technologies Limited.</w:t>
      </w:r>
    </w:p>
    <w:p>
      <w:pPr>
        <w:spacing w:after="120"/>
      </w:pPr>
      <w:r>
        <w:rPr>
          <w:rFonts w:ascii="Calibri" w:cs="Calibri" w:eastAsia="Calibri" w:hAnsi="Calibri"/>
          <w:color w:val="5A6172"/>
          <w:sz w:val="20"/>
          <w:szCs w:val="20"/>
        </w:rPr>
        <w:t xml:space="preserve">This document is confidential and intended solely for the named recipient. It contains proprietary information and forward-looking strategic assumptions. Distribution or reproduction without written consent is prohibited.</w:t>
      </w:r>
    </w:p>
    <w:p>
      <w:r>
        <w:br w:type="page"/>
      </w:r>
    </w:p>
    <w:p>
      <w:pPr>
        <w:pStyle w:val="Heading1"/>
        <w:spacing w:after="180" w:before="360"/>
      </w:pPr>
      <w:r>
        <w:rPr>
          <w:rFonts w:ascii="Georgia" w:cs="Georgia" w:eastAsia="Georgia" w:hAnsi="Georgia"/>
          <w:b/>
          <w:bCs/>
          <w:color w:val="0B1533"/>
          <w:sz w:val="36"/>
          <w:szCs w:val="36"/>
        </w:rPr>
        <w:t xml:space="preserve">1. Framework</w:t>
      </w:r>
    </w:p>
    <w:p>
      <w:pPr>
        <w:spacing w:after="120"/>
      </w:pPr>
      <w:r>
        <w:rPr>
          <w:rFonts w:ascii="Calibri" w:cs="Calibri" w:eastAsia="Calibri" w:hAnsi="Calibri"/>
          <w:sz w:val="22"/>
          <w:szCs w:val="22"/>
        </w:rPr>
        <w:t xml:space="preserve">Competitors are grouped into three archetypes: (A) Horizontal Collaboration Incumbents, (B) Point-Solution SaaS Suites, and (C) Legacy Operational Platforms. Each is scored on category coverage, AI-native depth, data-graph coherence, and pricing accessibility for the target ICP.</w:t>
      </w:r>
    </w:p>
    <w:p>
      <w:pPr>
        <w:pStyle w:val="Heading1"/>
        <w:spacing w:after="180" w:before="360"/>
      </w:pPr>
      <w:r>
        <w:rPr>
          <w:rFonts w:ascii="Georgia" w:cs="Georgia" w:eastAsia="Georgia" w:hAnsi="Georgia"/>
          <w:b/>
          <w:bCs/>
          <w:color w:val="0B1533"/>
          <w:sz w:val="36"/>
          <w:szCs w:val="36"/>
        </w:rPr>
        <w:t xml:space="preserve">2. Archetype A — Horizontal Collaboration Incumbents</w:t>
      </w:r>
    </w:p>
    <w:p>
      <w:pPr>
        <w:pStyle w:val="Heading2"/>
        <w:spacing w:after="140" w:before="280"/>
      </w:pPr>
      <w:r>
        <w:rPr>
          <w:rFonts w:ascii="Georgia" w:cs="Georgia" w:eastAsia="Georgia" w:hAnsi="Georgia"/>
          <w:b/>
          <w:bCs/>
          <w:color w:val="0B1533"/>
          <w:sz w:val="28"/>
          <w:szCs w:val="28"/>
        </w:rPr>
        <w:t xml:space="preserve">Microsoft 365 + Copilot</w:t>
      </w:r>
    </w:p>
    <w:p>
      <w:pPr>
        <w:spacing w:after="120"/>
      </w:pPr>
      <w:r>
        <w:rPr>
          <w:rFonts w:ascii="Calibri" w:cs="Calibri" w:eastAsia="Calibri" w:hAnsi="Calibri"/>
          <w:sz w:val="22"/>
          <w:szCs w:val="22"/>
        </w:rPr>
        <w:t xml:space="preserve">Global de-facto standard for productivity. Copilot integration is powerful for individual productivity but poorly extended into cross-functional operations (HR, execution, finance). Pricing at $30/user/mo for Copilot doubles TCO for SMEs.</w:t>
      </w:r>
    </w:p>
    <w:p>
      <w:pPr>
        <w:pStyle w:val="ListParagraph"/>
        <w:numPr>
          <w:ilvl w:val="0"/>
          <w:numId w:val="2"/>
        </w:numPr>
        <w:spacing w:after="80"/>
      </w:pPr>
      <w:r>
        <w:rPr>
          <w:rFonts w:ascii="Calibri" w:cs="Calibri" w:eastAsia="Calibri" w:hAnsi="Calibri"/>
          <w:sz w:val="22"/>
          <w:szCs w:val="22"/>
        </w:rPr>
        <w:t xml:space="preserve">Strengths: Distribution, trust, Office suite lock-in, Azure infra.</w:t>
      </w:r>
    </w:p>
    <w:p>
      <w:pPr>
        <w:pStyle w:val="ListParagraph"/>
        <w:numPr>
          <w:ilvl w:val="0"/>
          <w:numId w:val="2"/>
        </w:numPr>
        <w:spacing w:after="80"/>
      </w:pPr>
      <w:r>
        <w:rPr>
          <w:rFonts w:ascii="Calibri" w:cs="Calibri" w:eastAsia="Calibri" w:hAnsi="Calibri"/>
          <w:sz w:val="22"/>
          <w:szCs w:val="22"/>
        </w:rPr>
        <w:t xml:space="preserve">Weaknesses: Fragmented UX across products; Copilot depth varies; not a coherent operational graph.</w:t>
      </w:r>
    </w:p>
    <w:p>
      <w:pPr>
        <w:pStyle w:val="ListParagraph"/>
        <w:numPr>
          <w:ilvl w:val="0"/>
          <w:numId w:val="2"/>
        </w:numPr>
        <w:spacing w:after="80"/>
      </w:pPr>
      <w:r>
        <w:rPr>
          <w:rFonts w:ascii="Calibri" w:cs="Calibri" w:eastAsia="Calibri" w:hAnsi="Calibri"/>
          <w:sz w:val="22"/>
          <w:szCs w:val="22"/>
        </w:rPr>
        <w:t xml:space="preserve">White space: Sub-500-employee organizations priced out of full Copilot; operational modules absent.</w:t>
      </w:r>
    </w:p>
    <w:p>
      <w:pPr>
        <w:pStyle w:val="Heading2"/>
        <w:spacing w:after="140" w:before="280"/>
      </w:pPr>
      <w:r>
        <w:rPr>
          <w:rFonts w:ascii="Georgia" w:cs="Georgia" w:eastAsia="Georgia" w:hAnsi="Georgia"/>
          <w:b/>
          <w:bCs/>
          <w:color w:val="0B1533"/>
          <w:sz w:val="28"/>
          <w:szCs w:val="28"/>
        </w:rPr>
        <w:t xml:space="preserve">Google Workspace + Duet AI</w:t>
      </w:r>
    </w:p>
    <w:p>
      <w:pPr>
        <w:spacing w:after="120"/>
      </w:pPr>
      <w:r>
        <w:rPr>
          <w:rFonts w:ascii="Calibri" w:cs="Calibri" w:eastAsia="Calibri" w:hAnsi="Calibri"/>
          <w:sz w:val="22"/>
          <w:szCs w:val="22"/>
        </w:rPr>
        <w:t xml:space="preserve">Strong on collaboration; weaker on structured operational modules. Duet AI is document-centric rather than organization-centric.</w:t>
      </w:r>
    </w:p>
    <w:p>
      <w:pPr>
        <w:pStyle w:val="ListParagraph"/>
        <w:numPr>
          <w:ilvl w:val="0"/>
          <w:numId w:val="2"/>
        </w:numPr>
        <w:spacing w:after="80"/>
      </w:pPr>
      <w:r>
        <w:rPr>
          <w:rFonts w:ascii="Calibri" w:cs="Calibri" w:eastAsia="Calibri" w:hAnsi="Calibri"/>
          <w:sz w:val="22"/>
          <w:szCs w:val="22"/>
        </w:rPr>
        <w:t xml:space="preserve">Strengths: Fast deployment, transparent pricing, developer ecosystem.</w:t>
      </w:r>
    </w:p>
    <w:p>
      <w:pPr>
        <w:pStyle w:val="ListParagraph"/>
        <w:numPr>
          <w:ilvl w:val="0"/>
          <w:numId w:val="2"/>
        </w:numPr>
        <w:spacing w:after="80"/>
      </w:pPr>
      <w:r>
        <w:rPr>
          <w:rFonts w:ascii="Calibri" w:cs="Calibri" w:eastAsia="Calibri" w:hAnsi="Calibri"/>
          <w:sz w:val="22"/>
          <w:szCs w:val="22"/>
        </w:rPr>
        <w:t xml:space="preserve">Weaknesses: No native HR, finance, execution, or workflow depth.</w:t>
      </w:r>
    </w:p>
    <w:p>
      <w:pPr>
        <w:pStyle w:val="Heading1"/>
        <w:spacing w:after="180" w:before="360"/>
      </w:pPr>
      <w:r>
        <w:rPr>
          <w:rFonts w:ascii="Georgia" w:cs="Georgia" w:eastAsia="Georgia" w:hAnsi="Georgia"/>
          <w:b/>
          <w:bCs/>
          <w:color w:val="0B1533"/>
          <w:sz w:val="36"/>
          <w:szCs w:val="36"/>
        </w:rPr>
        <w:t xml:space="preserve">3. Archetype B — Point-Solution SaaS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200"/>
        <w:gridCol w:w="3760"/>
      </w:tblGrid>
      <w:tr>
        <w:tc>
          <w:tcPr>
            <w:tcW w:type="dxa" w:w="140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Product</w:t>
            </w:r>
          </w:p>
        </w:tc>
        <w:tc>
          <w:tcPr>
            <w:tcW w:type="dxa" w:w="160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Primary category</w:t>
            </w:r>
          </w:p>
        </w:tc>
        <w:tc>
          <w:tcPr>
            <w:tcW w:type="dxa" w:w="140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Starting price</w:t>
            </w:r>
          </w:p>
        </w:tc>
        <w:tc>
          <w:tcPr>
            <w:tcW w:type="dxa" w:w="120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AI depth</w:t>
            </w:r>
          </w:p>
        </w:tc>
        <w:tc>
          <w:tcPr>
            <w:tcW w:type="dxa" w:w="37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Key gap vs. Global Office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Monday.com</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Work management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$9/user/mo</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Moderate</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No HR, finance, communication core</w:t>
            </w:r>
          </w:p>
        </w:tc>
      </w:tr>
      <w:tr>
        <w:tc>
          <w:tcPr>
            <w:tcW w:type="dxa" w:w="1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ClickUp</w:t>
            </w:r>
          </w:p>
        </w:tc>
        <w:tc>
          <w:tcPr>
            <w:tcW w:type="dxa" w:w="16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Work + docs</w:t>
            </w:r>
          </w:p>
        </w:tc>
        <w:tc>
          <w:tcPr>
            <w:tcW w:type="dxa" w:w="1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$7/user/mo</w:t>
            </w:r>
          </w:p>
        </w:tc>
        <w:tc>
          <w:tcPr>
            <w:tcW w:type="dxa" w:w="12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Moderate</w:t>
            </w:r>
          </w:p>
        </w:tc>
        <w:tc>
          <w:tcPr>
            <w:tcW w:type="dxa" w:w="37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No HR, finance, meetings, native comms</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Notion</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Knowledge + docs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$8/user/mo</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Moderate</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No execution, HR, finance, attendance</w:t>
            </w:r>
          </w:p>
        </w:tc>
      </w:tr>
      <w:tr>
        <w:tc>
          <w:tcPr>
            <w:tcW w:type="dxa" w:w="1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Asana</w:t>
            </w:r>
          </w:p>
        </w:tc>
        <w:tc>
          <w:tcPr>
            <w:tcW w:type="dxa" w:w="16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Project mgmt</w:t>
            </w:r>
          </w:p>
        </w:tc>
        <w:tc>
          <w:tcPr>
            <w:tcW w:type="dxa" w:w="1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$10.99/user/mo</w:t>
            </w:r>
          </w:p>
        </w:tc>
        <w:tc>
          <w:tcPr>
            <w:tcW w:type="dxa" w:w="12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Light</w:t>
            </w:r>
          </w:p>
        </w:tc>
        <w:tc>
          <w:tcPr>
            <w:tcW w:type="dxa" w:w="37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Single-purpose; no data graph</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Slack</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Messaging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$7.25/user/mo</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Light</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No execution, HR, docs</w:t>
            </w:r>
          </w:p>
        </w:tc>
      </w:tr>
      <w:tr>
        <w:tc>
          <w:tcPr>
            <w:tcW w:type="dxa" w:w="1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Zoom</w:t>
            </w:r>
          </w:p>
        </w:tc>
        <w:tc>
          <w:tcPr>
            <w:tcW w:type="dxa" w:w="16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Meetings</w:t>
            </w:r>
          </w:p>
        </w:tc>
        <w:tc>
          <w:tcPr>
            <w:tcW w:type="dxa" w:w="1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$14/user/mo</w:t>
            </w:r>
          </w:p>
        </w:tc>
        <w:tc>
          <w:tcPr>
            <w:tcW w:type="dxa" w:w="12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Moderate</w:t>
            </w:r>
          </w:p>
        </w:tc>
        <w:tc>
          <w:tcPr>
            <w:tcW w:type="dxa" w:w="37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Meetings only</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HubSpot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CRM + marketing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$20+/user/mo</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Moderate</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External-facing; no internal ops</w:t>
            </w:r>
          </w:p>
        </w:tc>
      </w:tr>
      <w:tr>
        <w:tc>
          <w:tcPr>
            <w:tcW w:type="dxa" w:w="1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Salesforce</w:t>
            </w:r>
          </w:p>
        </w:tc>
        <w:tc>
          <w:tcPr>
            <w:tcW w:type="dxa" w:w="16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CRM + platform</w:t>
            </w:r>
          </w:p>
        </w:tc>
        <w:tc>
          <w:tcPr>
            <w:tcW w:type="dxa" w:w="1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$25+/user/mo</w:t>
            </w:r>
          </w:p>
        </w:tc>
        <w:tc>
          <w:tcPr>
            <w:tcW w:type="dxa" w:w="12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Deep (Einstein)</w:t>
            </w:r>
          </w:p>
        </w:tc>
        <w:tc>
          <w:tcPr>
            <w:tcW w:type="dxa" w:w="37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Enterprise complexity, high TCO</w:t>
            </w:r>
          </w:p>
        </w:tc>
      </w:tr>
    </w:tbl>
    <w:p>
      <w:pPr>
        <w:spacing w:after="120"/>
      </w:pPr>
      <w:r>
        <w:rPr>
          <w:rFonts w:ascii="Calibri" w:cs="Calibri" w:eastAsia="Calibri" w:hAnsi="Calibri"/>
          <w:i/>
          <w:iCs/>
          <w:color w:val="5A6172"/>
          <w:sz w:val="22"/>
          <w:szCs w:val="22"/>
        </w:rPr>
        <w:t xml:space="preserve">Analysis: no single product in this archetype spans the operational surface Global Office unifies. A typical mid-market customer runs 4–7 of these simultaneously, paying $60–$120 per user per month in aggregate and losing coherence between them.</w:t>
      </w:r>
    </w:p>
    <w:p>
      <w:pPr>
        <w:pStyle w:val="Heading1"/>
        <w:spacing w:after="180" w:before="360"/>
      </w:pPr>
      <w:r>
        <w:rPr>
          <w:rFonts w:ascii="Georgia" w:cs="Georgia" w:eastAsia="Georgia" w:hAnsi="Georgia"/>
          <w:b/>
          <w:bCs/>
          <w:color w:val="0B1533"/>
          <w:sz w:val="36"/>
          <w:szCs w:val="36"/>
        </w:rPr>
        <w:t xml:space="preserve">4. Archetype C — Legacy Operational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c>
          <w:tcPr>
            <w:tcW w:type="dxa" w:w="190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Product</w:t>
            </w:r>
          </w:p>
        </w:tc>
        <w:tc>
          <w:tcPr>
            <w:tcW w:type="dxa" w:w="190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Positioning</w:t>
            </w:r>
          </w:p>
        </w:tc>
        <w:tc>
          <w:tcPr>
            <w:tcW w:type="dxa" w:w="190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Fit for target ICP</w:t>
            </w:r>
          </w:p>
        </w:tc>
        <w:tc>
          <w:tcPr>
            <w:tcW w:type="dxa" w:w="36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Structural weakness</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SAP Business One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ERP for SMB</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Enterprise-priced, IT-heavy</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Not AI-native; multi-month deployment</w:t>
            </w:r>
          </w:p>
        </w:tc>
      </w:tr>
      <w:tr>
        <w:tc>
          <w:tcPr>
            <w:tcW w:type="dxa" w:w="1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Oracle NetSuite</w:t>
            </w:r>
          </w:p>
        </w:tc>
        <w:tc>
          <w:tcPr>
            <w:tcW w:type="dxa" w:w="1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Cloud ERP</w:t>
            </w:r>
          </w:p>
        </w:tc>
        <w:tc>
          <w:tcPr>
            <w:tcW w:type="dxa" w:w="1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Mid-market and up</w:t>
            </w:r>
          </w:p>
        </w:tc>
        <w:tc>
          <w:tcPr>
            <w:tcW w:type="dxa" w:w="36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Complex, integrator-dependent, expensive</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Zoho One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All-in-one SMB</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Strong SMB fit</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40+ apps, fragmented UX, thin AI</w:t>
            </w:r>
          </w:p>
        </w:tc>
      </w:tr>
      <w:tr>
        <w:tc>
          <w:tcPr>
            <w:tcW w:type="dxa" w:w="1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Odoo</w:t>
            </w:r>
          </w:p>
        </w:tc>
        <w:tc>
          <w:tcPr>
            <w:tcW w:type="dxa" w:w="1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Open-source ERP</w:t>
            </w:r>
          </w:p>
        </w:tc>
        <w:tc>
          <w:tcPr>
            <w:tcW w:type="dxa" w:w="1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Developer-required</w:t>
            </w:r>
          </w:p>
        </w:tc>
        <w:tc>
          <w:tcPr>
            <w:tcW w:type="dxa" w:w="36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Not AI-native; heavy customization</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Freshworks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CRM + support</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Sales-centric</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Weak internal operations coverage</w:t>
            </w:r>
          </w:p>
        </w:tc>
      </w:tr>
      <w:tr>
        <w:tc>
          <w:tcPr>
            <w:tcW w:type="dxa" w:w="1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Bitrix24</w:t>
            </w:r>
          </w:p>
        </w:tc>
        <w:tc>
          <w:tcPr>
            <w:tcW w:type="dxa" w:w="1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All-in-one</w:t>
            </w:r>
          </w:p>
        </w:tc>
        <w:tc>
          <w:tcPr>
            <w:tcW w:type="dxa" w:w="1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Feature-rich but dated</w:t>
            </w:r>
          </w:p>
        </w:tc>
        <w:tc>
          <w:tcPr>
            <w:tcW w:type="dxa" w:w="36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Legacy UX; weak on AI</w:t>
            </w:r>
          </w:p>
        </w:tc>
      </w:tr>
    </w:tbl>
    <w:p>
      <w:pPr>
        <w:pStyle w:val="Heading1"/>
        <w:spacing w:after="180" w:before="360"/>
      </w:pPr>
      <w:r>
        <w:rPr>
          <w:rFonts w:ascii="Georgia" w:cs="Georgia" w:eastAsia="Georgia" w:hAnsi="Georgia"/>
          <w:b/>
          <w:bCs/>
          <w:color w:val="0B1533"/>
          <w:sz w:val="36"/>
          <w:szCs w:val="36"/>
        </w:rPr>
        <w:t xml:space="preserve">5. White-Space Map</w:t>
      </w:r>
    </w:p>
    <w:p>
      <w:pPr>
        <w:spacing w:after="120"/>
      </w:pPr>
      <w:r>
        <w:rPr>
          <w:rFonts w:ascii="Calibri" w:cs="Calibri" w:eastAsia="Calibri" w:hAnsi="Calibri"/>
          <w:sz w:val="22"/>
          <w:szCs w:val="22"/>
        </w:rPr>
        <w:t xml:space="preserve">Two axes: horizontal category coverage (X) and AI-native intelligence (Y). Incumbents cluster in the low-AI / high-coverage quadrant (SAP, NetSuite, Zoho) or the high-AI / low-coverage quadrant (Notion AI, Copilot). The high-coverage / high-AI quadrant — the AI-BOS position — is unoccupied. Global Office is designed to define it.</w:t>
      </w:r>
    </w:p>
    <w:p>
      <w:pPr>
        <w:pStyle w:val="Heading1"/>
        <w:spacing w:after="180" w:before="360"/>
      </w:pPr>
      <w:r>
        <w:rPr>
          <w:rFonts w:ascii="Georgia" w:cs="Georgia" w:eastAsia="Georgia" w:hAnsi="Georgia"/>
          <w:b/>
          <w:bCs/>
          <w:color w:val="0B1533"/>
          <w:sz w:val="36"/>
          <w:szCs w:val="36"/>
        </w:rPr>
        <w:t xml:space="preserve">6. Positioning Statement</w:t>
      </w:r>
    </w:p>
    <w:p>
      <w:pPr>
        <w:spacing w:after="120"/>
      </w:pPr>
      <w:r>
        <w:rPr>
          <w:rFonts w:ascii="Calibri" w:cs="Calibri" w:eastAsia="Calibri" w:hAnsi="Calibri"/>
          <w:sz w:val="22"/>
          <w:szCs w:val="22"/>
        </w:rPr>
        <w:t xml:space="preserve">For the modern operating organization, Global Office is the AI Business Operating System that replaces the fragmented stack of collaboration, HR, execution, finance, and meetings tools with one intelligent surface. Unlike Microsoft 365 or Google Workspace, it is AI-native rather than AI-retrofit. Unlike Monday, Notion, or Slack, it covers the full operational graph. Unlike SAP or NetSuite, it is deployable in days and priced for the sub-500-employee majority.</w:t>
      </w:r>
    </w:p>
    <w:p>
      <w:pPr>
        <w:pStyle w:val="Heading1"/>
        <w:spacing w:after="180" w:before="360"/>
      </w:pPr>
      <w:r>
        <w:rPr>
          <w:rFonts w:ascii="Georgia" w:cs="Georgia" w:eastAsia="Georgia" w:hAnsi="Georgia"/>
          <w:b/>
          <w:bCs/>
          <w:color w:val="0B1533"/>
          <w:sz w:val="36"/>
          <w:szCs w:val="36"/>
        </w:rPr>
        <w:t xml:space="preserve">7. Differentiation Pillars</w:t>
      </w:r>
    </w:p>
    <w:p>
      <w:pPr>
        <w:pStyle w:val="ListParagraph"/>
        <w:numPr>
          <w:ilvl w:val="0"/>
          <w:numId w:val="2"/>
        </w:numPr>
        <w:spacing w:after="80"/>
      </w:pPr>
      <w:r>
        <w:rPr>
          <w:rFonts w:ascii="Calibri" w:cs="Calibri" w:eastAsia="Calibri" w:hAnsi="Calibri"/>
          <w:sz w:val="22"/>
          <w:szCs w:val="22"/>
        </w:rPr>
        <w:t xml:space="preserve">Unified data graph — every entity in the organization is a first-class node; features share the same substrate.</w:t>
      </w:r>
    </w:p>
    <w:p>
      <w:pPr>
        <w:pStyle w:val="ListParagraph"/>
        <w:numPr>
          <w:ilvl w:val="0"/>
          <w:numId w:val="2"/>
        </w:numPr>
        <w:spacing w:after="80"/>
      </w:pPr>
      <w:r>
        <w:rPr>
          <w:rFonts w:ascii="Calibri" w:cs="Calibri" w:eastAsia="Calibri" w:hAnsi="Calibri"/>
          <w:sz w:val="22"/>
          <w:szCs w:val="22"/>
        </w:rPr>
        <w:t xml:space="preserve">Intelligence layer — AI observes and suggests across the whole graph, not per-app.</w:t>
      </w:r>
    </w:p>
    <w:p>
      <w:pPr>
        <w:pStyle w:val="ListParagraph"/>
        <w:numPr>
          <w:ilvl w:val="0"/>
          <w:numId w:val="2"/>
        </w:numPr>
        <w:spacing w:after="80"/>
      </w:pPr>
      <w:r>
        <w:rPr>
          <w:rFonts w:ascii="Calibri" w:cs="Calibri" w:eastAsia="Calibri" w:hAnsi="Calibri"/>
          <w:sz w:val="22"/>
          <w:szCs w:val="22"/>
        </w:rPr>
        <w:t xml:space="preserve">Suggestive-only design — every AI action is reviewable and reversible, addressing enterprise AI-governance risk.</w:t>
      </w:r>
    </w:p>
    <w:p>
      <w:pPr>
        <w:pStyle w:val="ListParagraph"/>
        <w:numPr>
          <w:ilvl w:val="0"/>
          <w:numId w:val="2"/>
        </w:numPr>
        <w:spacing w:after="80"/>
      </w:pPr>
      <w:r>
        <w:rPr>
          <w:rFonts w:ascii="Calibri" w:cs="Calibri" w:eastAsia="Calibri" w:hAnsi="Calibri"/>
          <w:sz w:val="22"/>
          <w:szCs w:val="22"/>
        </w:rPr>
        <w:t xml:space="preserve">Global-first, emerging-market-ready — local payroll, currencies, tax, and language support built in, not bolted on.</w:t>
      </w:r>
    </w:p>
    <w:p>
      <w:pPr>
        <w:pStyle w:val="ListParagraph"/>
        <w:numPr>
          <w:ilvl w:val="0"/>
          <w:numId w:val="2"/>
        </w:numPr>
        <w:spacing w:after="80"/>
      </w:pPr>
      <w:r>
        <w:rPr>
          <w:rFonts w:ascii="Calibri" w:cs="Calibri" w:eastAsia="Calibri" w:hAnsi="Calibri"/>
          <w:sz w:val="22"/>
          <w:szCs w:val="22"/>
        </w:rPr>
        <w:t xml:space="preserve">Mobile-first execution surface — usable by frontline staff, not only by knowledge workers.</w:t>
      </w:r>
    </w:p>
    <w:p>
      <w:pPr>
        <w:pStyle w:val="Heading1"/>
        <w:spacing w:after="180" w:before="360"/>
      </w:pPr>
      <w:r>
        <w:rPr>
          <w:rFonts w:ascii="Georgia" w:cs="Georgia" w:eastAsia="Georgia" w:hAnsi="Georgia"/>
          <w:b/>
          <w:bCs/>
          <w:color w:val="0B1533"/>
          <w:sz w:val="36"/>
          <w:szCs w:val="36"/>
        </w:rPr>
        <w:t xml:space="preserve">8. Threat Assessment</w:t>
      </w:r>
    </w:p>
    <w:p>
      <w:pPr>
        <w:pStyle w:val="ListParagraph"/>
        <w:numPr>
          <w:ilvl w:val="0"/>
          <w:numId w:val="2"/>
        </w:numPr>
        <w:spacing w:after="80"/>
      </w:pPr>
      <w:r>
        <w:rPr>
          <w:rFonts w:ascii="Calibri" w:cs="Calibri" w:eastAsia="Calibri" w:hAnsi="Calibri"/>
          <w:sz w:val="22"/>
          <w:szCs w:val="22"/>
        </w:rPr>
        <w:t xml:space="preserve">Highest threat: Microsoft accelerating Copilot into HR / operations verticals — mitigated by product velocity and pricing accessibility.</w:t>
      </w:r>
    </w:p>
    <w:p>
      <w:pPr>
        <w:pStyle w:val="ListParagraph"/>
        <w:numPr>
          <w:ilvl w:val="0"/>
          <w:numId w:val="2"/>
        </w:numPr>
        <w:spacing w:after="80"/>
      </w:pPr>
      <w:r>
        <w:rPr>
          <w:rFonts w:ascii="Calibri" w:cs="Calibri" w:eastAsia="Calibri" w:hAnsi="Calibri"/>
          <w:sz w:val="22"/>
          <w:szCs w:val="22"/>
        </w:rPr>
        <w:t xml:space="preserve">Medium threat: Notion or Monday adding operational modules — mitigated by data-graph moat that accumulates with usage.</w:t>
      </w:r>
    </w:p>
    <w:p>
      <w:pPr>
        <w:pStyle w:val="ListParagraph"/>
        <w:numPr>
          <w:ilvl w:val="0"/>
          <w:numId w:val="2"/>
        </w:numPr>
        <w:spacing w:after="80"/>
      </w:pPr>
      <w:r>
        <w:rPr>
          <w:rFonts w:ascii="Calibri" w:cs="Calibri" w:eastAsia="Calibri" w:hAnsi="Calibri"/>
          <w:sz w:val="22"/>
          <w:szCs w:val="22"/>
        </w:rPr>
        <w:t xml:space="preserve">Low threat: SAP / NetSuite — enterprise DNA, misaligned pricing and deployment for our ICP.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A6172"/>
        <w:sz w:val="14"/>
        <w:szCs w:val="14"/>
      </w:rPr>
      <w:t xml:space="preserve">Soteria AI Technologies Limited</w:t>
    </w:r>
    <w:r>
      <w:rPr>
        <w:rFonts w:ascii="Calibri" w:cs="Calibri" w:eastAsia="Calibri" w:hAnsi="Calibri"/>
        <w:color w:val="5A6172"/>
        <w:sz w:val="14"/>
        <w:szCs w:val="14"/>
      </w:rPr>
      <w:t xml:space="preserve">	Page </w:t>
    </w:r>
    <w:r>
      <w:rPr>
        <w:rFonts w:ascii="Calibri" w:cs="Calibri" w:eastAsia="Calibri" w:hAnsi="Calibri"/>
        <w:color w:val="5A61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A6172"/>
        <w:spacing w:val="80"/>
        <w:sz w:val="14"/>
        <w:szCs w:val="14"/>
      </w:rPr>
      <w:t xml:space="preserve">GLOBAL OFFICE  ·  CONFIDENTIAL  ·  INVESTOR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0B1533"/>
      <w:sz w:val="36"/>
      <w:szCs w:val="36"/>
    </w:rPr>
  </w:style>
  <w:style w:type="paragraph" w:styleId="Heading2">
    <w:name w:val="Heading 2"/>
    <w:basedOn w:val="Normal"/>
    <w:next w:val="Normal"/>
    <w:qFormat/>
    <w:pPr>
      <w:spacing w:after="140" w:before="280"/>
      <w:outlineLvl w:val="1"/>
    </w:pPr>
    <w:rPr>
      <w:rFonts w:ascii="Georgia" w:cs="Georgia" w:eastAsia="Georgia" w:hAnsi="Georgia"/>
      <w:b/>
      <w:bCs/>
      <w:color w:val="0B15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2026-07-13T10:27:38.069Z</dcterms:created>
  <dcterms:modified xsi:type="dcterms:W3CDTF">2026-07-13T10:27:38.069Z</dcterms:modified>
</cp:coreProperties>
</file>

<file path=docProps/custom.xml><?xml version="1.0" encoding="utf-8"?>
<Properties xmlns="http://schemas.openxmlformats.org/officeDocument/2006/custom-properties" xmlns:vt="http://schemas.openxmlformats.org/officeDocument/2006/docPropsVTypes"/>
</file>