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Calibri" w:cs="Calibri" w:eastAsia="Calibri" w:hAnsi="Calibri"/>
          <w:b/>
          <w:bCs/>
          <w:color w:val="B8892E"/>
          <w:spacing w:val="100"/>
          <w:sz w:val="18"/>
          <w:szCs w:val="18"/>
        </w:rPr>
        <w:t xml:space="preserve">MARKET RESEARCH REPORT</w:t>
      </w:r>
    </w:p>
    <w:p>
      <w:pPr>
        <w:spacing w:after="200" w:before="400"/>
      </w:pPr>
      <w:r>
        <w:rPr>
          <w:rFonts w:ascii="Georgia" w:cs="Georgia" w:eastAsia="Georgia" w:hAnsi="Georgia"/>
          <w:b/>
          <w:bCs/>
          <w:color w:val="0B1533"/>
          <w:sz w:val="64"/>
          <w:szCs w:val="64"/>
        </w:rPr>
        <w:t xml:space="preserve">Global Market Analysis</w:t>
      </w:r>
    </w:p>
    <w:p>
      <w:pPr>
        <w:spacing w:after="400"/>
      </w:pPr>
      <w:r>
        <w:rPr>
          <w:rFonts w:ascii="Georgia" w:cs="Georgia" w:eastAsia="Georgia" w:hAnsi="Georgia"/>
          <w:i/>
          <w:iCs/>
          <w:color w:val="0B1533"/>
          <w:sz w:val="28"/>
          <w:szCs w:val="28"/>
        </w:rPr>
        <w:t xml:space="preserve">The addressable opportunity for an AI-native Business Operating System</w:t>
      </w:r>
    </w:p>
    <w:p>
      <w:pPr>
        <w:pBdr>
          <w:bottom w:val="single" w:color="0B1533" w:sz="6" w:space="1"/>
        </w:pBdr>
        <w:spacing w:after="120"/>
      </w:pPr>
    </w:p>
    <w:p>
      <w:pPr>
        <w:spacing w:after="120"/>
      </w:pPr>
      <w:r>
        <w:rPr>
          <w:rFonts w:ascii="Calibri" w:cs="Calibri" w:eastAsia="Calibri" w:hAnsi="Calibri"/>
          <w:i/>
          <w:iCs/>
          <w:color w:val="5A6172"/>
          <w:sz w:val="22"/>
          <w:szCs w:val="22"/>
        </w:rPr>
        <w:t xml:space="preserve">Prepared by Global Office, a product of Soteria AI Technologies Limited.</w:t>
      </w:r>
    </w:p>
    <w:p>
      <w:pPr>
        <w:spacing w:after="120"/>
      </w:pPr>
      <w:r>
        <w:rPr>
          <w:rFonts w:ascii="Calibri" w:cs="Calibri" w:eastAsia="Calibri" w:hAnsi="Calibri"/>
          <w:color w:val="5A6172"/>
          <w:sz w:val="20"/>
          <w:szCs w:val="20"/>
        </w:rPr>
        <w:t xml:space="preserve">This document is confidential and intended solely for the named recipient. It contains proprietary information and forward-looking strategic assumptions. Distribution or reproduction without written consent is prohibited.</w:t>
      </w:r>
    </w:p>
    <w:p>
      <w:r>
        <w:br w:type="page"/>
      </w:r>
    </w:p>
    <w:p>
      <w:pPr>
        <w:pStyle w:val="Heading1"/>
        <w:spacing w:after="180" w:before="360"/>
      </w:pPr>
      <w:r>
        <w:rPr>
          <w:rFonts w:ascii="Georgia" w:cs="Georgia" w:eastAsia="Georgia" w:hAnsi="Georgia"/>
          <w:b/>
          <w:bCs/>
          <w:color w:val="0B1533"/>
          <w:sz w:val="36"/>
          <w:szCs w:val="36"/>
        </w:rPr>
        <w:t xml:space="preserve">1. Executive Summary</w:t>
      </w:r>
    </w:p>
    <w:p>
      <w:pPr>
        <w:spacing w:after="120"/>
      </w:pPr>
      <w:r>
        <w:rPr>
          <w:rFonts w:ascii="Calibri" w:cs="Calibri" w:eastAsia="Calibri" w:hAnsi="Calibri"/>
          <w:sz w:val="22"/>
          <w:szCs w:val="22"/>
        </w:rPr>
        <w:t xml:space="preserve">The global market for business software is undergoing its most significant structural shift since the migration to cloud. Three forces — generative AI reaching utility, buyer fatigue with fragmented SaaS stacks, and global SME digitization — have converged to open a rebundling window. This window historically produces category-defining companies.</w:t>
      </w:r>
    </w:p>
    <w:p>
      <w:pPr>
        <w:spacing w:after="120"/>
      </w:pPr>
      <w:r>
        <w:rPr>
          <w:rFonts w:ascii="Calibri" w:cs="Calibri" w:eastAsia="Calibri" w:hAnsi="Calibri"/>
          <w:sz w:val="22"/>
          <w:szCs w:val="22"/>
        </w:rPr>
        <w:t xml:space="preserve">Global Office positions to capture this shift with a horizontal AI Business Operating System (AI-BOS): a single, intelligent surface that unifies attendance, execution, communication, knowledge, HR, finance, meetings, and executive intelligence across an organization.</w:t>
      </w:r>
    </w:p>
    <w:p>
      <w:pPr>
        <w:spacing w:after="120"/>
      </w:pPr>
      <w:r>
        <w:rPr>
          <w:rFonts w:ascii="Calibri" w:cs="Calibri" w:eastAsia="Calibri" w:hAnsi="Calibri"/>
          <w:sz w:val="22"/>
          <w:szCs w:val="22"/>
        </w:rPr>
        <w:t xml:space="preserve">This report quantifies the addressable market, segments demand by geography and organizational profile, and identifies the go-to-market surfaces that maximize capture in the first 36 months.</w:t>
      </w:r>
    </w:p>
    <w:p>
      <w:pPr>
        <w:pStyle w:val="Heading1"/>
        <w:spacing w:after="180" w:before="360"/>
      </w:pPr>
      <w:r>
        <w:rPr>
          <w:rFonts w:ascii="Georgia" w:cs="Georgia" w:eastAsia="Georgia" w:hAnsi="Georgia"/>
          <w:b/>
          <w:bCs/>
          <w:color w:val="0B1533"/>
          <w:sz w:val="36"/>
          <w:szCs w:val="36"/>
        </w:rPr>
        <w:t xml:space="preserve">2. Market Sizing</w:t>
      </w:r>
    </w:p>
    <w:p>
      <w:pPr>
        <w:pStyle w:val="Heading2"/>
        <w:spacing w:after="140" w:before="280"/>
      </w:pPr>
      <w:r>
        <w:rPr>
          <w:rFonts w:ascii="Georgia" w:cs="Georgia" w:eastAsia="Georgia" w:hAnsi="Georgia"/>
          <w:b/>
          <w:bCs/>
          <w:color w:val="0B1533"/>
          <w:sz w:val="28"/>
          <w:szCs w:val="28"/>
        </w:rPr>
        <w:t xml:space="preserve">2.1 Total Addressable Market (TAM)</w:t>
      </w:r>
    </w:p>
    <w:p>
      <w:pPr>
        <w:spacing w:after="120"/>
      </w:pPr>
      <w:r>
        <w:rPr>
          <w:rFonts w:ascii="Calibri" w:cs="Calibri" w:eastAsia="Calibri" w:hAnsi="Calibri"/>
          <w:sz w:val="22"/>
          <w:szCs w:val="22"/>
        </w:rPr>
        <w:t xml:space="preserve">Gartner forecasts worldwide enterprise software spending will exceed $1.24 trillion in 2025, growing to ~$1.5 trillion by 2028 [Gartner, 2024]. The application software subsegment — the direct competitive surface for Global Office — represents approximately $340 billion in 2025 [IDC, 2024].</w:t>
      </w:r>
    </w:p>
    <w:tbl>
      <w:tblPr>
        <w:tblW w:type="dxa" w:w="884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1560"/>
      </w:tblGrid>
      <w:tr>
        <w:tc>
          <w:tcPr>
            <w:tcW w:type="dxa" w:w="3120"/>
            <w:tcBorders>
              <w:top w:val="single" w:color="CCCCCC" w:sz="4"/>
              <w:left w:val="single" w:color="CCCCCC" w:sz="4"/>
              <w:bottom w:val="single" w:color="CCCCCC" w:sz="4"/>
              <w:right w:val="single" w:color="CCCCCC" w:sz="4"/>
            </w:tcBorders>
            <w:shd w:fill="0B1533" w:val="clear"/>
            <w:tcMar>
              <w:top w:type="dxa" w:w="100"/>
              <w:left w:type="dxa" w:w="140"/>
              <w:bottom w:type="dxa" w:w="100"/>
              <w:right w:type="dxa" w:w="140"/>
            </w:tcMar>
          </w:tcPr>
          <w:p>
            <w:r>
              <w:rPr>
                <w:rFonts w:ascii="Calibri" w:cs="Calibri" w:eastAsia="Calibri" w:hAnsi="Calibri"/>
                <w:b/>
                <w:bCs/>
                <w:color w:val="FFFFFF"/>
                <w:sz w:val="20"/>
                <w:szCs w:val="20"/>
              </w:rPr>
              <w:t xml:space="preserve">Segment</w:t>
            </w:r>
          </w:p>
        </w:tc>
        <w:tc>
          <w:tcPr>
            <w:tcW w:type="dxa" w:w="2080"/>
            <w:tcBorders>
              <w:top w:val="single" w:color="CCCCCC" w:sz="4"/>
              <w:left w:val="single" w:color="CCCCCC" w:sz="4"/>
              <w:bottom w:val="single" w:color="CCCCCC" w:sz="4"/>
              <w:right w:val="single" w:color="CCCCCC" w:sz="4"/>
            </w:tcBorders>
            <w:shd w:fill="0B1533" w:val="clear"/>
            <w:tcMar>
              <w:top w:type="dxa" w:w="100"/>
              <w:left w:type="dxa" w:w="140"/>
              <w:bottom w:type="dxa" w:w="100"/>
              <w:right w:type="dxa" w:w="140"/>
            </w:tcMar>
          </w:tcPr>
          <w:p>
            <w:r>
              <w:rPr>
                <w:rFonts w:ascii="Calibri" w:cs="Calibri" w:eastAsia="Calibri" w:hAnsi="Calibri"/>
                <w:b/>
                <w:bCs/>
                <w:color w:val="FFFFFF"/>
                <w:sz w:val="20"/>
                <w:szCs w:val="20"/>
              </w:rPr>
              <w:t xml:space="preserve">2025 (USD)</w:t>
            </w:r>
          </w:p>
        </w:tc>
        <w:tc>
          <w:tcPr>
            <w:tcW w:type="dxa" w:w="2080"/>
            <w:tcBorders>
              <w:top w:val="single" w:color="CCCCCC" w:sz="4"/>
              <w:left w:val="single" w:color="CCCCCC" w:sz="4"/>
              <w:bottom w:val="single" w:color="CCCCCC" w:sz="4"/>
              <w:right w:val="single" w:color="CCCCCC" w:sz="4"/>
            </w:tcBorders>
            <w:shd w:fill="0B1533" w:val="clear"/>
            <w:tcMar>
              <w:top w:type="dxa" w:w="100"/>
              <w:left w:type="dxa" w:w="140"/>
              <w:bottom w:type="dxa" w:w="100"/>
              <w:right w:type="dxa" w:w="140"/>
            </w:tcMar>
          </w:tcPr>
          <w:p>
            <w:r>
              <w:rPr>
                <w:rFonts w:ascii="Calibri" w:cs="Calibri" w:eastAsia="Calibri" w:hAnsi="Calibri"/>
                <w:b/>
                <w:bCs/>
                <w:color w:val="FFFFFF"/>
                <w:sz w:val="20"/>
                <w:szCs w:val="20"/>
              </w:rPr>
              <w:t xml:space="preserve">2028E (USD)</w:t>
            </w:r>
          </w:p>
        </w:tc>
        <w:tc>
          <w:tcPr>
            <w:tcW w:type="dxa" w:w="1560"/>
            <w:tcBorders>
              <w:top w:val="single" w:color="CCCCCC" w:sz="4"/>
              <w:left w:val="single" w:color="CCCCCC" w:sz="4"/>
              <w:bottom w:val="single" w:color="CCCCCC" w:sz="4"/>
              <w:right w:val="single" w:color="CCCCCC" w:sz="4"/>
            </w:tcBorders>
            <w:shd w:fill="0B1533" w:val="clear"/>
            <w:tcMar>
              <w:top w:type="dxa" w:w="100"/>
              <w:left w:type="dxa" w:w="140"/>
              <w:bottom w:type="dxa" w:w="100"/>
              <w:right w:type="dxa" w:w="140"/>
            </w:tcMar>
          </w:tcPr>
          <w:p>
            <w:r>
              <w:rPr>
                <w:rFonts w:ascii="Calibri" w:cs="Calibri" w:eastAsia="Calibri" w:hAnsi="Calibri"/>
                <w:b/>
                <w:bCs/>
                <w:color w:val="FFFFFF"/>
                <w:sz w:val="20"/>
                <w:szCs w:val="20"/>
              </w:rPr>
              <w:t xml:space="preserve">CAGR</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Enterprise software (total)</w:t>
            </w:r>
          </w:p>
        </w:tc>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$1.24T</w:t>
            </w:r>
          </w:p>
        </w:tc>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$1.50T</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6.5%</w:t>
            </w:r>
          </w:p>
        </w:tc>
      </w:tr>
      <w:tr>
        <w:tc>
          <w:tcPr>
            <w:tcW w:type="dxa" w:w="312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Application software</w:t>
            </w:r>
          </w:p>
        </w:tc>
        <w:tc>
          <w:tcPr>
            <w:tcW w:type="dxa" w:w="208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$340B</w:t>
            </w:r>
          </w:p>
        </w:tc>
        <w:tc>
          <w:tcPr>
            <w:tcW w:type="dxa" w:w="208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$460B</w:t>
            </w:r>
          </w:p>
        </w:tc>
        <w:tc>
          <w:tcPr>
            <w:tcW w:type="dxa" w:w="156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10.6%</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Collaboration &amp; productivity</w:t>
            </w:r>
          </w:p>
        </w:tc>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$78B</w:t>
            </w:r>
          </w:p>
        </w:tc>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$118B</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14.7%</w:t>
            </w:r>
          </w:p>
        </w:tc>
      </w:tr>
      <w:tr>
        <w:tc>
          <w:tcPr>
            <w:tcW w:type="dxa" w:w="312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Vertical / SME suites</w:t>
            </w:r>
          </w:p>
        </w:tc>
        <w:tc>
          <w:tcPr>
            <w:tcW w:type="dxa" w:w="208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$62B</w:t>
            </w:r>
          </w:p>
        </w:tc>
        <w:tc>
          <w:tcPr>
            <w:tcW w:type="dxa" w:w="208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$95B</w:t>
            </w:r>
          </w:p>
        </w:tc>
        <w:tc>
          <w:tcPr>
            <w:tcW w:type="dxa" w:w="156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15.3%</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AI-native application layer</w:t>
            </w:r>
          </w:p>
        </w:tc>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$18B</w:t>
            </w:r>
          </w:p>
        </w:tc>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$92B</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50%+</w:t>
            </w:r>
          </w:p>
        </w:tc>
      </w:tr>
    </w:tbl>
    <w:p>
      <w:pPr>
        <w:spacing w:after="120"/>
      </w:pPr>
      <w:r>
        <w:rPr>
          <w:rFonts w:ascii="Calibri" w:cs="Calibri" w:eastAsia="Calibri" w:hAnsi="Calibri"/>
          <w:sz w:val="22"/>
          <w:szCs w:val="22"/>
        </w:rPr>
        <w:t xml:space="preserve">Source: Gartner Forecast: Enterprise Software Spending Worldwide 2024–2028; IDC Worldwide Semiannual Software Tracker 2024H2; Statista SaaS Market Size Worldwide 2015–2030.</w:t>
      </w:r>
    </w:p>
    <w:p>
      <w:pPr>
        <w:pStyle w:val="Heading2"/>
        <w:spacing w:after="140" w:before="280"/>
      </w:pPr>
      <w:r>
        <w:rPr>
          <w:rFonts w:ascii="Georgia" w:cs="Georgia" w:eastAsia="Georgia" w:hAnsi="Georgia"/>
          <w:b/>
          <w:bCs/>
          <w:color w:val="0B1533"/>
          <w:sz w:val="28"/>
          <w:szCs w:val="28"/>
        </w:rPr>
        <w:t xml:space="preserve">2.2 Serviceable Addressable Market (SAM)</w:t>
      </w:r>
    </w:p>
    <w:p>
      <w:pPr>
        <w:spacing w:after="120"/>
      </w:pPr>
      <w:r>
        <w:rPr>
          <w:rFonts w:ascii="Calibri" w:cs="Calibri" w:eastAsia="Calibri" w:hAnsi="Calibri"/>
          <w:sz w:val="22"/>
          <w:szCs w:val="22"/>
        </w:rPr>
        <w:t xml:space="preserve">Global Office's serviceable market is the population of organizations with 10–1,000 employees actively purchasing multi-module operational software. Applying observed penetration rates to the World Bank's estimate of ~400 million SMEs globally: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4"/>
              <w:left w:val="single" w:color="CCCCCC" w:sz="4"/>
              <w:bottom w:val="single" w:color="CCCCCC" w:sz="4"/>
              <w:right w:val="single" w:color="CCCCCC" w:sz="4"/>
            </w:tcBorders>
            <w:shd w:fill="0B1533" w:val="clear"/>
            <w:tcMar>
              <w:top w:type="dxa" w:w="100"/>
              <w:left w:type="dxa" w:w="140"/>
              <w:bottom w:type="dxa" w:w="100"/>
              <w:right w:type="dxa" w:w="140"/>
            </w:tcMar>
          </w:tcPr>
          <w:p>
            <w:r>
              <w:rPr>
                <w:rFonts w:ascii="Calibri" w:cs="Calibri" w:eastAsia="Calibri" w:hAnsi="Calibri"/>
                <w:b/>
                <w:bCs/>
                <w:color w:val="FFFFFF"/>
                <w:sz w:val="20"/>
                <w:szCs w:val="20"/>
              </w:rPr>
              <w:t xml:space="preserve">Region</w:t>
            </w:r>
          </w:p>
        </w:tc>
        <w:tc>
          <w:tcPr>
            <w:tcW w:type="dxa" w:w="1560"/>
            <w:tcBorders>
              <w:top w:val="single" w:color="CCCCCC" w:sz="4"/>
              <w:left w:val="single" w:color="CCCCCC" w:sz="4"/>
              <w:bottom w:val="single" w:color="CCCCCC" w:sz="4"/>
              <w:right w:val="single" w:color="CCCCCC" w:sz="4"/>
            </w:tcBorders>
            <w:shd w:fill="0B1533" w:val="clear"/>
            <w:tcMar>
              <w:top w:type="dxa" w:w="100"/>
              <w:left w:type="dxa" w:w="140"/>
              <w:bottom w:type="dxa" w:w="100"/>
              <w:right w:type="dxa" w:w="140"/>
            </w:tcMar>
          </w:tcPr>
          <w:p>
            <w:r>
              <w:rPr>
                <w:rFonts w:ascii="Calibri" w:cs="Calibri" w:eastAsia="Calibri" w:hAnsi="Calibri"/>
                <w:b/>
                <w:bCs/>
                <w:color w:val="FFFFFF"/>
                <w:sz w:val="20"/>
                <w:szCs w:val="20"/>
              </w:rPr>
              <w:t xml:space="preserve">SMEs (10–1,000 emp)</w:t>
            </w:r>
          </w:p>
        </w:tc>
        <w:tc>
          <w:tcPr>
            <w:tcW w:type="dxa" w:w="1560"/>
            <w:tcBorders>
              <w:top w:val="single" w:color="CCCCCC" w:sz="4"/>
              <w:left w:val="single" w:color="CCCCCC" w:sz="4"/>
              <w:bottom w:val="single" w:color="CCCCCC" w:sz="4"/>
              <w:right w:val="single" w:color="CCCCCC" w:sz="4"/>
            </w:tcBorders>
            <w:shd w:fill="0B1533" w:val="clear"/>
            <w:tcMar>
              <w:top w:type="dxa" w:w="100"/>
              <w:left w:type="dxa" w:w="140"/>
              <w:bottom w:type="dxa" w:w="100"/>
              <w:right w:type="dxa" w:w="140"/>
            </w:tcMar>
          </w:tcPr>
          <w:p>
            <w:r>
              <w:rPr>
                <w:rFonts w:ascii="Calibri" w:cs="Calibri" w:eastAsia="Calibri" w:hAnsi="Calibri"/>
                <w:b/>
                <w:bCs/>
                <w:color w:val="FFFFFF"/>
                <w:sz w:val="20"/>
                <w:szCs w:val="20"/>
              </w:rPr>
              <w:t xml:space="preserve">Software-buying (%)</w:t>
            </w:r>
          </w:p>
        </w:tc>
        <w:tc>
          <w:tcPr>
            <w:tcW w:type="dxa" w:w="1560"/>
            <w:tcBorders>
              <w:top w:val="single" w:color="CCCCCC" w:sz="4"/>
              <w:left w:val="single" w:color="CCCCCC" w:sz="4"/>
              <w:bottom w:val="single" w:color="CCCCCC" w:sz="4"/>
              <w:right w:val="single" w:color="CCCCCC" w:sz="4"/>
            </w:tcBorders>
            <w:shd w:fill="0B1533" w:val="clear"/>
            <w:tcMar>
              <w:top w:type="dxa" w:w="100"/>
              <w:left w:type="dxa" w:w="140"/>
              <w:bottom w:type="dxa" w:w="100"/>
              <w:right w:type="dxa" w:w="140"/>
            </w:tcMar>
          </w:tcPr>
          <w:p>
            <w:r>
              <w:rPr>
                <w:rFonts w:ascii="Calibri" w:cs="Calibri" w:eastAsia="Calibri" w:hAnsi="Calibri"/>
                <w:b/>
                <w:bCs/>
                <w:color w:val="FFFFFF"/>
                <w:sz w:val="20"/>
                <w:szCs w:val="20"/>
              </w:rPr>
              <w:t xml:space="preserve">Serviceable Orgs</w:t>
            </w:r>
          </w:p>
        </w:tc>
        <w:tc>
          <w:tcPr>
            <w:tcW w:type="dxa" w:w="1560"/>
            <w:tcBorders>
              <w:top w:val="single" w:color="CCCCCC" w:sz="4"/>
              <w:left w:val="single" w:color="CCCCCC" w:sz="4"/>
              <w:bottom w:val="single" w:color="CCCCCC" w:sz="4"/>
              <w:right w:val="single" w:color="CCCCCC" w:sz="4"/>
            </w:tcBorders>
            <w:shd w:fill="0B1533" w:val="clear"/>
            <w:tcMar>
              <w:top w:type="dxa" w:w="100"/>
              <w:left w:type="dxa" w:w="140"/>
              <w:bottom w:type="dxa" w:w="100"/>
              <w:right w:type="dxa" w:w="140"/>
            </w:tcMar>
          </w:tcPr>
          <w:p>
            <w:r>
              <w:rPr>
                <w:rFonts w:ascii="Calibri" w:cs="Calibri" w:eastAsia="Calibri" w:hAnsi="Calibri"/>
                <w:b/>
                <w:bCs/>
                <w:color w:val="FFFFFF"/>
                <w:sz w:val="20"/>
                <w:szCs w:val="20"/>
              </w:rPr>
              <w:t xml:space="preserve">ARPU (est. USD/yr)</w:t>
            </w:r>
          </w:p>
        </w:tc>
        <w:tc>
          <w:tcPr>
            <w:tcW w:type="dxa" w:w="1560"/>
            <w:tcBorders>
              <w:top w:val="single" w:color="CCCCCC" w:sz="4"/>
              <w:left w:val="single" w:color="CCCCCC" w:sz="4"/>
              <w:bottom w:val="single" w:color="CCCCCC" w:sz="4"/>
              <w:right w:val="single" w:color="CCCCCC" w:sz="4"/>
            </w:tcBorders>
            <w:shd w:fill="0B1533" w:val="clear"/>
            <w:tcMar>
              <w:top w:type="dxa" w:w="100"/>
              <w:left w:type="dxa" w:w="140"/>
              <w:bottom w:type="dxa" w:w="100"/>
              <w:right w:type="dxa" w:w="140"/>
            </w:tcMar>
          </w:tcPr>
          <w:p>
            <w:r>
              <w:rPr>
                <w:rFonts w:ascii="Calibri" w:cs="Calibri" w:eastAsia="Calibri" w:hAnsi="Calibri"/>
                <w:b/>
                <w:bCs/>
                <w:color w:val="FFFFFF"/>
                <w:sz w:val="20"/>
                <w:szCs w:val="20"/>
              </w:rPr>
              <w:t xml:space="preserve">SAM (USD)</w:t>
            </w:r>
          </w:p>
        </w:tc>
      </w:tr>
      <w:tr>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North America</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6.1M</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78%</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4.76M</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$3,600</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$17.1B</w:t>
            </w:r>
          </w:p>
        </w:tc>
      </w:tr>
      <w:tr>
        <w:tc>
          <w:tcPr>
            <w:tcW w:type="dxa" w:w="156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Western Europe</w:t>
            </w:r>
          </w:p>
        </w:tc>
        <w:tc>
          <w:tcPr>
            <w:tcW w:type="dxa" w:w="156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5.4M</w:t>
            </w:r>
          </w:p>
        </w:tc>
        <w:tc>
          <w:tcPr>
            <w:tcW w:type="dxa" w:w="156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72%</w:t>
            </w:r>
          </w:p>
        </w:tc>
        <w:tc>
          <w:tcPr>
            <w:tcW w:type="dxa" w:w="156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3.89M</w:t>
            </w:r>
          </w:p>
        </w:tc>
        <w:tc>
          <w:tcPr>
            <w:tcW w:type="dxa" w:w="156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$3,200</w:t>
            </w:r>
          </w:p>
        </w:tc>
        <w:tc>
          <w:tcPr>
            <w:tcW w:type="dxa" w:w="156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$12.4B</w:t>
            </w:r>
          </w:p>
        </w:tc>
      </w:tr>
      <w:tr>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UK &amp; Ireland</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1.2M</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76%</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0.91M</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$3,400</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$3.1B</w:t>
            </w:r>
          </w:p>
        </w:tc>
      </w:tr>
      <w:tr>
        <w:tc>
          <w:tcPr>
            <w:tcW w:type="dxa" w:w="156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Asia-Pacific (developed)</w:t>
            </w:r>
          </w:p>
        </w:tc>
        <w:tc>
          <w:tcPr>
            <w:tcW w:type="dxa" w:w="156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4.8M</w:t>
            </w:r>
          </w:p>
        </w:tc>
        <w:tc>
          <w:tcPr>
            <w:tcW w:type="dxa" w:w="156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68%</w:t>
            </w:r>
          </w:p>
        </w:tc>
        <w:tc>
          <w:tcPr>
            <w:tcW w:type="dxa" w:w="156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3.26M</w:t>
            </w:r>
          </w:p>
        </w:tc>
        <w:tc>
          <w:tcPr>
            <w:tcW w:type="dxa" w:w="156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$2,800</w:t>
            </w:r>
          </w:p>
        </w:tc>
        <w:tc>
          <w:tcPr>
            <w:tcW w:type="dxa" w:w="156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$9.1B</w:t>
            </w:r>
          </w:p>
        </w:tc>
      </w:tr>
      <w:tr>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MENA</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2.1M</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41%</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0.86M</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$2,200</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$1.9B</w:t>
            </w:r>
          </w:p>
        </w:tc>
      </w:tr>
      <w:tr>
        <w:tc>
          <w:tcPr>
            <w:tcW w:type="dxa" w:w="156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Sub-Saharan Africa</w:t>
            </w:r>
          </w:p>
        </w:tc>
        <w:tc>
          <w:tcPr>
            <w:tcW w:type="dxa" w:w="156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5.6M</w:t>
            </w:r>
          </w:p>
        </w:tc>
        <w:tc>
          <w:tcPr>
            <w:tcW w:type="dxa" w:w="156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18%</w:t>
            </w:r>
          </w:p>
        </w:tc>
        <w:tc>
          <w:tcPr>
            <w:tcW w:type="dxa" w:w="156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1.01M</w:t>
            </w:r>
          </w:p>
        </w:tc>
        <w:tc>
          <w:tcPr>
            <w:tcW w:type="dxa" w:w="156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$1,600</w:t>
            </w:r>
          </w:p>
        </w:tc>
        <w:tc>
          <w:tcPr>
            <w:tcW w:type="dxa" w:w="156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$1.6B</w:t>
            </w:r>
          </w:p>
        </w:tc>
      </w:tr>
      <w:tr>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Latin America</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3.4M</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44%</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1.50M</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$2,400</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$3.6B</w:t>
            </w:r>
          </w:p>
        </w:tc>
      </w:tr>
      <w:tr>
        <w:tc>
          <w:tcPr>
            <w:tcW w:type="dxa" w:w="156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Global SAM total</w:t>
            </w:r>
          </w:p>
        </w:tc>
        <w:tc>
          <w:tcPr>
            <w:tcW w:type="dxa" w:w="156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28.6M</w:t>
            </w:r>
          </w:p>
        </w:tc>
        <w:tc>
          <w:tcPr>
            <w:tcW w:type="dxa" w:w="156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w:t>
            </w:r>
          </w:p>
        </w:tc>
        <w:tc>
          <w:tcPr>
            <w:tcW w:type="dxa" w:w="156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16.19M</w:t>
            </w:r>
          </w:p>
        </w:tc>
        <w:tc>
          <w:tcPr>
            <w:tcW w:type="dxa" w:w="156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w:t>
            </w:r>
          </w:p>
        </w:tc>
        <w:tc>
          <w:tcPr>
            <w:tcW w:type="dxa" w:w="156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~$48.8B</w:t>
            </w:r>
          </w:p>
        </w:tc>
      </w:tr>
    </w:tbl>
    <w:p>
      <w:pPr>
        <w:spacing w:after="120"/>
      </w:pPr>
      <w:r>
        <w:rPr>
          <w:rFonts w:ascii="Calibri" w:cs="Calibri" w:eastAsia="Calibri" w:hAnsi="Calibri"/>
          <w:i/>
          <w:iCs/>
          <w:color w:val="5A6172"/>
          <w:sz w:val="22"/>
          <w:szCs w:val="22"/>
        </w:rPr>
        <w:t xml:space="preserve">Assumptions: Software-buying % blends World Bank SME digital adoption indices with regional SaaS penetration surveys (IDC, 2024). ARPU reflects blended pricing across the collaboration, HR, and operational suite categories. Values are strategic estimates, not commitments.</w:t>
      </w:r>
    </w:p>
    <w:p>
      <w:pPr>
        <w:pStyle w:val="Heading2"/>
        <w:spacing w:after="140" w:before="280"/>
      </w:pPr>
      <w:r>
        <w:rPr>
          <w:rFonts w:ascii="Georgia" w:cs="Georgia" w:eastAsia="Georgia" w:hAnsi="Georgia"/>
          <w:b/>
          <w:bCs/>
          <w:color w:val="0B1533"/>
          <w:sz w:val="28"/>
          <w:szCs w:val="28"/>
        </w:rPr>
        <w:t xml:space="preserve">2.3 Serviceable Obtainable Market (SOM) — 5-year</w:t>
      </w:r>
    </w:p>
    <w:p>
      <w:pPr>
        <w:spacing w:after="120"/>
      </w:pPr>
      <w:r>
        <w:rPr>
          <w:rFonts w:ascii="Calibri" w:cs="Calibri" w:eastAsia="Calibri" w:hAnsi="Calibri"/>
          <w:sz w:val="22"/>
          <w:szCs w:val="22"/>
        </w:rPr>
        <w:t xml:space="preserve">Applying conservative 0.35% capture of SAM over 5 years yields a $170M ARR target — consistent with the trajectory of comparable horizontal SaaS category leaders (Monday.com, ClickUp, Notion) at equivalent stages.</w:t>
      </w:r>
    </w:p>
    <w:p>
      <w:pPr>
        <w:pStyle w:val="Heading1"/>
        <w:spacing w:after="180" w:before="360"/>
      </w:pPr>
      <w:r>
        <w:rPr>
          <w:rFonts w:ascii="Georgia" w:cs="Georgia" w:eastAsia="Georgia" w:hAnsi="Georgia"/>
          <w:b/>
          <w:bCs/>
          <w:color w:val="0B1533"/>
          <w:sz w:val="36"/>
          <w:szCs w:val="36"/>
        </w:rPr>
        <w:t xml:space="preserve">3. Demand Signals</w:t>
      </w:r>
    </w:p>
    <w:p>
      <w:pPr>
        <w:pStyle w:val="Heading2"/>
        <w:spacing w:after="140" w:before="280"/>
      </w:pPr>
      <w:r>
        <w:rPr>
          <w:rFonts w:ascii="Georgia" w:cs="Georgia" w:eastAsia="Georgia" w:hAnsi="Georgia"/>
          <w:b/>
          <w:bCs/>
          <w:color w:val="0B1533"/>
          <w:sz w:val="28"/>
          <w:szCs w:val="28"/>
        </w:rPr>
        <w:t xml:space="preserve">3.1 Tool sprawl is the #1 mid-market complaint</w:t>
      </w:r>
    </w:p>
    <w:p>
      <w:pPr>
        <w:pStyle w:val="ListParagraph"/>
        <w:numPr>
          <w:ilvl w:val="0"/>
          <w:numId w:val="2"/>
        </w:numPr>
        <w:spacing w:after="80"/>
      </w:pPr>
      <w:r>
        <w:rPr>
          <w:rFonts w:ascii="Calibri" w:cs="Calibri" w:eastAsia="Calibri" w:hAnsi="Calibri"/>
          <w:sz w:val="22"/>
          <w:szCs w:val="22"/>
        </w:rPr>
        <w:t xml:space="preserve">Okta Businesses at Work 2024: the average mid-market company uses 93 SaaS applications; the average enterprise, 231.</w:t>
      </w:r>
    </w:p>
    <w:p>
      <w:pPr>
        <w:pStyle w:val="ListParagraph"/>
        <w:numPr>
          <w:ilvl w:val="0"/>
          <w:numId w:val="2"/>
        </w:numPr>
        <w:spacing w:after="80"/>
      </w:pPr>
      <w:r>
        <w:rPr>
          <w:rFonts w:ascii="Calibri" w:cs="Calibri" w:eastAsia="Calibri" w:hAnsi="Calibri"/>
          <w:sz w:val="22"/>
          <w:szCs w:val="22"/>
        </w:rPr>
        <w:t xml:space="preserve">Gartner CIO Survey 2024: 74% of CIOs cite 'application consolidation' as a top-three 2025 initiative.</w:t>
      </w:r>
    </w:p>
    <w:p>
      <w:pPr>
        <w:pStyle w:val="ListParagraph"/>
        <w:numPr>
          <w:ilvl w:val="0"/>
          <w:numId w:val="2"/>
        </w:numPr>
        <w:spacing w:after="80"/>
      </w:pPr>
      <w:r>
        <w:rPr>
          <w:rFonts w:ascii="Calibri" w:cs="Calibri" w:eastAsia="Calibri" w:hAnsi="Calibri"/>
          <w:sz w:val="22"/>
          <w:szCs w:val="22"/>
        </w:rPr>
        <w:t xml:space="preserve">Productiv State of SaaS 2024: 44% of purchased SaaS licenses go unused within 90 days.</w:t>
      </w:r>
    </w:p>
    <w:p>
      <w:pPr>
        <w:pStyle w:val="Heading2"/>
        <w:spacing w:after="140" w:before="280"/>
      </w:pPr>
      <w:r>
        <w:rPr>
          <w:rFonts w:ascii="Georgia" w:cs="Georgia" w:eastAsia="Georgia" w:hAnsi="Georgia"/>
          <w:b/>
          <w:bCs/>
          <w:color w:val="0B1533"/>
          <w:sz w:val="28"/>
          <w:szCs w:val="28"/>
        </w:rPr>
        <w:t xml:space="preserve">3.2 Buyers want intelligence, not features</w:t>
      </w:r>
    </w:p>
    <w:p>
      <w:pPr>
        <w:pStyle w:val="ListParagraph"/>
        <w:numPr>
          <w:ilvl w:val="0"/>
          <w:numId w:val="2"/>
        </w:numPr>
        <w:spacing w:after="80"/>
      </w:pPr>
      <w:r>
        <w:rPr>
          <w:rFonts w:ascii="Calibri" w:cs="Calibri" w:eastAsia="Calibri" w:hAnsi="Calibri"/>
          <w:sz w:val="22"/>
          <w:szCs w:val="22"/>
        </w:rPr>
        <w:t xml:space="preserve">Bain 2024 Technology Report: 60% of software buyers rank 'AI that acts on our data' as a top-three purchase criterion — up from 12% in 2022.</w:t>
      </w:r>
    </w:p>
    <w:p>
      <w:pPr>
        <w:pStyle w:val="ListParagraph"/>
        <w:numPr>
          <w:ilvl w:val="0"/>
          <w:numId w:val="2"/>
        </w:numPr>
        <w:spacing w:after="80"/>
      </w:pPr>
      <w:r>
        <w:rPr>
          <w:rFonts w:ascii="Calibri" w:cs="Calibri" w:eastAsia="Calibri" w:hAnsi="Calibri"/>
          <w:sz w:val="22"/>
          <w:szCs w:val="22"/>
        </w:rPr>
        <w:t xml:space="preserve">Menlo Ventures State of Generative AI in the Enterprise 2024: enterprise AI spend grew 6× YoY to $13.8B.</w:t>
      </w:r>
    </w:p>
    <w:p>
      <w:pPr>
        <w:pStyle w:val="Heading2"/>
        <w:spacing w:after="140" w:before="280"/>
      </w:pPr>
      <w:r>
        <w:rPr>
          <w:rFonts w:ascii="Georgia" w:cs="Georgia" w:eastAsia="Georgia" w:hAnsi="Georgia"/>
          <w:b/>
          <w:bCs/>
          <w:color w:val="0B1533"/>
          <w:sz w:val="28"/>
          <w:szCs w:val="28"/>
        </w:rPr>
        <w:t xml:space="preserve">3.3 Emerging markets are the fastest-growing software geography</w:t>
      </w:r>
    </w:p>
    <w:p>
      <w:pPr>
        <w:pStyle w:val="ListParagraph"/>
        <w:numPr>
          <w:ilvl w:val="0"/>
          <w:numId w:val="2"/>
        </w:numPr>
        <w:spacing w:after="80"/>
      </w:pPr>
      <w:r>
        <w:rPr>
          <w:rFonts w:ascii="Calibri" w:cs="Calibri" w:eastAsia="Calibri" w:hAnsi="Calibri"/>
          <w:sz w:val="22"/>
          <w:szCs w:val="22"/>
        </w:rPr>
        <w:t xml:space="preserve">GSMA Mobile Economy SSA 2024: 692M mobile subscribers, $210B economic contribution by 2030.</w:t>
      </w:r>
    </w:p>
    <w:p>
      <w:pPr>
        <w:pStyle w:val="ListParagraph"/>
        <w:numPr>
          <w:ilvl w:val="0"/>
          <w:numId w:val="2"/>
        </w:numPr>
        <w:spacing w:after="80"/>
      </w:pPr>
      <w:r>
        <w:rPr>
          <w:rFonts w:ascii="Calibri" w:cs="Calibri" w:eastAsia="Calibri" w:hAnsi="Calibri"/>
          <w:sz w:val="22"/>
          <w:szCs w:val="22"/>
        </w:rPr>
        <w:t xml:space="preserve">Partech Africa 2023: $3.5B in African tech venture capital deployed in 2023 despite global downturn.</w:t>
      </w:r>
    </w:p>
    <w:p>
      <w:pPr>
        <w:pStyle w:val="Heading1"/>
        <w:spacing w:after="180" w:before="360"/>
      </w:pPr>
      <w:r>
        <w:rPr>
          <w:rFonts w:ascii="Georgia" w:cs="Georgia" w:eastAsia="Georgia" w:hAnsi="Georgia"/>
          <w:b/>
          <w:bCs/>
          <w:color w:val="0B1533"/>
          <w:sz w:val="36"/>
          <w:szCs w:val="36"/>
        </w:rPr>
        <w:t xml:space="preserve">4. Segmentation &amp; Ideal Customer Profile</w:t>
      </w:r>
    </w:p>
    <w:p>
      <w:pPr>
        <w:pStyle w:val="Heading2"/>
        <w:spacing w:after="140" w:before="280"/>
      </w:pPr>
      <w:r>
        <w:rPr>
          <w:rFonts w:ascii="Georgia" w:cs="Georgia" w:eastAsia="Georgia" w:hAnsi="Georgia"/>
          <w:b/>
          <w:bCs/>
          <w:color w:val="0B1533"/>
          <w:sz w:val="28"/>
          <w:szCs w:val="28"/>
        </w:rPr>
        <w:t xml:space="preserve">4.1 Primary ICP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0B1533" w:val="clear"/>
            <w:tcMar>
              <w:top w:type="dxa" w:w="100"/>
              <w:left w:type="dxa" w:w="140"/>
              <w:bottom w:type="dxa" w:w="100"/>
              <w:right w:type="dxa" w:w="140"/>
            </w:tcMar>
          </w:tcPr>
          <w:p>
            <w:r>
              <w:rPr>
                <w:rFonts w:ascii="Calibri" w:cs="Calibri" w:eastAsia="Calibri" w:hAnsi="Calibri"/>
                <w:b/>
                <w:bCs/>
                <w:color w:val="FFFFFF"/>
                <w:sz w:val="20"/>
                <w:szCs w:val="20"/>
              </w:rPr>
              <w:t xml:space="preserve">Attribute</w:t>
            </w:r>
          </w:p>
        </w:tc>
        <w:tc>
          <w:tcPr>
            <w:tcW w:type="dxa" w:w="6240"/>
            <w:tcBorders>
              <w:top w:val="single" w:color="CCCCCC" w:sz="4"/>
              <w:left w:val="single" w:color="CCCCCC" w:sz="4"/>
              <w:bottom w:val="single" w:color="CCCCCC" w:sz="4"/>
              <w:right w:val="single" w:color="CCCCCC" w:sz="4"/>
            </w:tcBorders>
            <w:shd w:fill="0B1533" w:val="clear"/>
            <w:tcMar>
              <w:top w:type="dxa" w:w="100"/>
              <w:left w:type="dxa" w:w="140"/>
              <w:bottom w:type="dxa" w:w="100"/>
              <w:right w:type="dxa" w:w="140"/>
            </w:tcMar>
          </w:tcPr>
          <w:p>
            <w:r>
              <w:rPr>
                <w:rFonts w:ascii="Calibri" w:cs="Calibri" w:eastAsia="Calibri" w:hAnsi="Calibri"/>
                <w:b/>
                <w:bCs/>
                <w:color w:val="FFFFFF"/>
                <w:sz w:val="20"/>
                <w:szCs w:val="20"/>
              </w:rPr>
              <w:t xml:space="preserve">Profile</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Organization size</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25–250 employees, multi-department</w:t>
            </w:r>
          </w:p>
        </w:tc>
      </w:tr>
      <w:tr>
        <w:tc>
          <w:tcPr>
            <w:tcW w:type="dxa" w:w="312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Geography (Yr 1–2)</w:t>
            </w:r>
          </w:p>
        </w:tc>
        <w:tc>
          <w:tcPr>
            <w:tcW w:type="dxa" w:w="624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US, UK, Canada, Australia, Germany, Netherlands, UAE</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Geography (Yr 3+)</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EU expansion, Nigeria, South Africa, Kenya, Egypt, India</w:t>
            </w:r>
          </w:p>
        </w:tc>
      </w:tr>
      <w:tr>
        <w:tc>
          <w:tcPr>
            <w:tcW w:type="dxa" w:w="312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Industries</w:t>
            </w:r>
          </w:p>
        </w:tc>
        <w:tc>
          <w:tcPr>
            <w:tcW w:type="dxa" w:w="624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Professional services, technology, financial services, education, media, hospitality, distribution</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Current stack</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5–15 SaaS tools; unhappy with fragmentation</w:t>
            </w:r>
          </w:p>
        </w:tc>
      </w:tr>
      <w:tr>
        <w:tc>
          <w:tcPr>
            <w:tcW w:type="dxa" w:w="312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Budget authority</w:t>
            </w:r>
          </w:p>
        </w:tc>
        <w:tc>
          <w:tcPr>
            <w:tcW w:type="dxa" w:w="6240"/>
            <w:tcBorders>
              <w:top w:val="single" w:color="CCCCCC" w:sz="4"/>
              <w:left w:val="single" w:color="CCCCCC" w:sz="4"/>
              <w:bottom w:val="single" w:color="CCCCCC" w:sz="4"/>
              <w:right w:val="single" w:color="CCCCCC" w:sz="4"/>
            </w:tcBorders>
            <w:shd w:fill="F5F1E8" w:val="clear"/>
            <w:tcMar>
              <w:top w:type="dxa" w:w="100"/>
              <w:left w:type="dxa" w:w="140"/>
              <w:bottom w:type="dxa" w:w="100"/>
              <w:right w:type="dxa" w:w="140"/>
            </w:tcMar>
          </w:tcPr>
          <w:p>
            <w:r>
              <w:rPr>
                <w:rFonts w:ascii="Calibri" w:cs="Calibri" w:eastAsia="Calibri" w:hAnsi="Calibri"/>
                <w:color w:val="0B1533"/>
                <w:sz w:val="20"/>
                <w:szCs w:val="20"/>
              </w:rPr>
              <w:t xml:space="preserve">Founder / COO / Head of Ops / CFO</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Willingness to pay</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B1533"/>
                <w:sz w:val="20"/>
                <w:szCs w:val="20"/>
              </w:rPr>
              <w:t xml:space="preserve">$8–$40 per user / month blended</w:t>
            </w:r>
          </w:p>
        </w:tc>
      </w:tr>
    </w:tbl>
    <w:p>
      <w:pPr>
        <w:pStyle w:val="Heading2"/>
        <w:spacing w:after="140" w:before="280"/>
      </w:pPr>
      <w:r>
        <w:rPr>
          <w:rFonts w:ascii="Georgia" w:cs="Georgia" w:eastAsia="Georgia" w:hAnsi="Georgia"/>
          <w:b/>
          <w:bCs/>
          <w:color w:val="0B1533"/>
          <w:sz w:val="28"/>
          <w:szCs w:val="28"/>
        </w:rPr>
        <w:t xml:space="preserve">4.2 Beachhead expansion sequence</w:t>
      </w:r>
    </w:p>
    <w:p>
      <w:pPr>
        <w:spacing w:after="120"/>
      </w:pPr>
      <w:r>
        <w:rPr>
          <w:rFonts w:ascii="Calibri" w:cs="Calibri" w:eastAsia="Calibri" w:hAnsi="Calibri"/>
          <w:sz w:val="22"/>
          <w:szCs w:val="22"/>
        </w:rPr>
        <w:t xml:space="preserve">Phase A (Months 1–12): Founder-led sales in English-speaking developed markets via product-led onboarding and design-partner cohorts. Phase B (Months 12–24): Channel + partner-led expansion into Continental Europe and the Gulf. Phase C (Months 24–36): Emerging-market vertical editions (Nigeria, Kenya, South Africa, India) leveraging local currency, payroll, and tax modules.</w:t>
      </w:r>
    </w:p>
    <w:p>
      <w:pPr>
        <w:pStyle w:val="Heading1"/>
        <w:spacing w:after="180" w:before="360"/>
      </w:pPr>
      <w:r>
        <w:rPr>
          <w:rFonts w:ascii="Georgia" w:cs="Georgia" w:eastAsia="Georgia" w:hAnsi="Georgia"/>
          <w:b/>
          <w:bCs/>
          <w:color w:val="0B1533"/>
          <w:sz w:val="36"/>
          <w:szCs w:val="36"/>
        </w:rPr>
        <w:t xml:space="preserve">5. Competitive Landscape Summary</w:t>
      </w:r>
    </w:p>
    <w:p>
      <w:pPr>
        <w:spacing w:after="120"/>
      </w:pPr>
      <w:r>
        <w:rPr>
          <w:rFonts w:ascii="Calibri" w:cs="Calibri" w:eastAsia="Calibri" w:hAnsi="Calibri"/>
          <w:sz w:val="22"/>
          <w:szCs w:val="22"/>
        </w:rPr>
        <w:t xml:space="preserve">The market is fragmented across three archetypes: (i) horizontal collaboration incumbents (Microsoft 365, Google Workspace), (ii) point-solution SaaS suites (Monday, ClickUp, Notion, Asana, Slack, Zoom), and (iii) legacy operational platforms (SAP, Oracle NetSuite, Zoho, Odoo). None combines a unified data graph, AI-native intelligence layer, and modern collaboration UX. A detailed competitive analysis is provided in the Competitive Analysis Report.</w:t>
      </w:r>
    </w:p>
    <w:p>
      <w:pPr>
        <w:pStyle w:val="Heading1"/>
        <w:spacing w:after="180" w:before="360"/>
      </w:pPr>
      <w:r>
        <w:rPr>
          <w:rFonts w:ascii="Georgia" w:cs="Georgia" w:eastAsia="Georgia" w:hAnsi="Georgia"/>
          <w:b/>
          <w:bCs/>
          <w:color w:val="0B1533"/>
          <w:sz w:val="36"/>
          <w:szCs w:val="36"/>
        </w:rPr>
        <w:t xml:space="preserve">6. Regulatory &amp; Compliance Landscape</w:t>
      </w:r>
    </w:p>
    <w:p>
      <w:pPr>
        <w:pStyle w:val="ListParagraph"/>
        <w:numPr>
          <w:ilvl w:val="0"/>
          <w:numId w:val="2"/>
        </w:numPr>
        <w:spacing w:after="80"/>
      </w:pPr>
      <w:r>
        <w:rPr>
          <w:rFonts w:ascii="Calibri" w:cs="Calibri" w:eastAsia="Calibri" w:hAnsi="Calibri"/>
          <w:sz w:val="22"/>
          <w:szCs w:val="22"/>
        </w:rPr>
        <w:t xml:space="preserve">Data residency — GDPR (EU/UK), CCPA (California), PIPEDA (Canada), POPIA (South Africa), NDPR (Nigeria) — all addressed via regional data-plane deployments.</w:t>
      </w:r>
    </w:p>
    <w:p>
      <w:pPr>
        <w:pStyle w:val="ListParagraph"/>
        <w:numPr>
          <w:ilvl w:val="0"/>
          <w:numId w:val="2"/>
        </w:numPr>
        <w:spacing w:after="80"/>
      </w:pPr>
      <w:r>
        <w:rPr>
          <w:rFonts w:ascii="Calibri" w:cs="Calibri" w:eastAsia="Calibri" w:hAnsi="Calibri"/>
          <w:sz w:val="22"/>
          <w:szCs w:val="22"/>
        </w:rPr>
        <w:t xml:space="preserve">AI governance — EU AI Act (2026 enforcement) requires transparent, auditable AI decisioning; Global Office's suggestive-only design already complies.</w:t>
      </w:r>
    </w:p>
    <w:p>
      <w:pPr>
        <w:pStyle w:val="ListParagraph"/>
        <w:numPr>
          <w:ilvl w:val="0"/>
          <w:numId w:val="2"/>
        </w:numPr>
        <w:spacing w:after="80"/>
      </w:pPr>
      <w:r>
        <w:rPr>
          <w:rFonts w:ascii="Calibri" w:cs="Calibri" w:eastAsia="Calibri" w:hAnsi="Calibri"/>
          <w:sz w:val="22"/>
          <w:szCs w:val="22"/>
        </w:rPr>
        <w:t xml:space="preserve">Financial data — SOC 2 Type II is on the Series-A roadmap; ISO 27001 is targeted for Year 3.</w:t>
      </w:r>
    </w:p>
    <w:p>
      <w:pPr>
        <w:pStyle w:val="Heading1"/>
        <w:spacing w:after="180" w:before="360"/>
      </w:pPr>
      <w:r>
        <w:rPr>
          <w:rFonts w:ascii="Georgia" w:cs="Georgia" w:eastAsia="Georgia" w:hAnsi="Georgia"/>
          <w:b/>
          <w:bCs/>
          <w:color w:val="0B1533"/>
          <w:sz w:val="36"/>
          <w:szCs w:val="36"/>
        </w:rPr>
        <w:t xml:space="preserve">7. Risks to Market Thesis</w:t>
      </w:r>
    </w:p>
    <w:p>
      <w:pPr>
        <w:pStyle w:val="ListParagraph"/>
        <w:numPr>
          <w:ilvl w:val="0"/>
          <w:numId w:val="2"/>
        </w:numPr>
        <w:spacing w:after="80"/>
      </w:pPr>
      <w:r>
        <w:rPr>
          <w:rFonts w:ascii="Calibri" w:cs="Calibri" w:eastAsia="Calibri" w:hAnsi="Calibri"/>
          <w:sz w:val="22"/>
          <w:szCs w:val="22"/>
        </w:rPr>
        <w:t xml:space="preserve">Incumbent bundling response — Microsoft Copilot, Google Duet, and Zoho Zia continue to add AI features. Mitigation: Global Office is AI-native rather than AI-retrofit; the graph substrate is the moat.</w:t>
      </w:r>
    </w:p>
    <w:p>
      <w:pPr>
        <w:pStyle w:val="ListParagraph"/>
        <w:numPr>
          <w:ilvl w:val="0"/>
          <w:numId w:val="2"/>
        </w:numPr>
        <w:spacing w:after="80"/>
      </w:pPr>
      <w:r>
        <w:rPr>
          <w:rFonts w:ascii="Calibri" w:cs="Calibri" w:eastAsia="Calibri" w:hAnsi="Calibri"/>
          <w:sz w:val="22"/>
          <w:szCs w:val="22"/>
        </w:rPr>
        <w:t xml:space="preserve">Macro compression of SME software budgets — offset by consolidation tailwind (replacing 5–15 tools with one).</w:t>
      </w:r>
    </w:p>
    <w:p>
      <w:pPr>
        <w:pStyle w:val="ListParagraph"/>
        <w:numPr>
          <w:ilvl w:val="0"/>
          <w:numId w:val="2"/>
        </w:numPr>
        <w:spacing w:after="80"/>
      </w:pPr>
      <w:r>
        <w:rPr>
          <w:rFonts w:ascii="Calibri" w:cs="Calibri" w:eastAsia="Calibri" w:hAnsi="Calibri"/>
          <w:sz w:val="22"/>
          <w:szCs w:val="22"/>
        </w:rPr>
        <w:t xml:space="preserve">Regulatory divergence on AI — mitigated by policy-controlled AI features and regional model routing.</w:t>
      </w:r>
    </w:p>
    <w:p>
      <w:pPr>
        <w:pStyle w:val="Heading1"/>
        <w:spacing w:after="180" w:before="360"/>
      </w:pPr>
      <w:r>
        <w:rPr>
          <w:rFonts w:ascii="Georgia" w:cs="Georgia" w:eastAsia="Georgia" w:hAnsi="Georgia"/>
          <w:b/>
          <w:bCs/>
          <w:color w:val="0B1533"/>
          <w:sz w:val="36"/>
          <w:szCs w:val="36"/>
        </w:rPr>
        <w:t xml:space="preserve">8. Conclusion</w:t>
      </w:r>
    </w:p>
    <w:p>
      <w:pPr>
        <w:spacing w:after="120"/>
      </w:pPr>
      <w:r>
        <w:rPr>
          <w:rFonts w:ascii="Calibri" w:cs="Calibri" w:eastAsia="Calibri" w:hAnsi="Calibri"/>
          <w:sz w:val="22"/>
          <w:szCs w:val="22"/>
        </w:rPr>
        <w:t xml:space="preserve">The market opportunity is (a) large enough — $48B+ SAM — to support a category-defining outcome; (b) structurally open — no incumbent occupies the AI-BOS position; and (c) accelerating — driven by three independent, durable tailwinds. Global Office is timed and positioned to capture disproportionate share of the rebundling window.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A6172"/>
        <w:sz w:val="14"/>
        <w:szCs w:val="14"/>
      </w:rPr>
      <w:t xml:space="preserve">Soteria AI Technologies Limited</w:t>
    </w:r>
    <w:r>
      <w:rPr>
        <w:rFonts w:ascii="Calibri" w:cs="Calibri" w:eastAsia="Calibri" w:hAnsi="Calibri"/>
        <w:color w:val="5A6172"/>
        <w:sz w:val="14"/>
        <w:szCs w:val="14"/>
      </w:rPr>
      <w:t xml:space="preserve">	Page </w:t>
    </w:r>
    <w:r>
      <w:rPr>
        <w:rFonts w:ascii="Calibri" w:cs="Calibri" w:eastAsia="Calibri" w:hAnsi="Calibri"/>
        <w:color w:val="5A6172"/>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5A6172"/>
        <w:spacing w:val="80"/>
        <w:sz w:val="14"/>
        <w:szCs w:val="14"/>
      </w:rPr>
      <w:t xml:space="preserve">GLOBAL OFFICE  ·  CONFIDENTIAL  ·  INVESTOR MATERIAL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Georgia" w:cs="Georgia" w:eastAsia="Georgia" w:hAnsi="Georgia"/>
      <w:b/>
      <w:bCs/>
      <w:color w:val="0B1533"/>
      <w:sz w:val="36"/>
      <w:szCs w:val="36"/>
    </w:rPr>
  </w:style>
  <w:style w:type="paragraph" w:styleId="Heading2">
    <w:name w:val="Heading 2"/>
    <w:basedOn w:val="Normal"/>
    <w:next w:val="Normal"/>
    <w:qFormat/>
    <w:pPr>
      <w:spacing w:after="140" w:before="280"/>
      <w:outlineLvl w:val="1"/>
    </w:pPr>
    <w:rPr>
      <w:rFonts w:ascii="Georgia" w:cs="Georgia" w:eastAsia="Georgia" w:hAnsi="Georgia"/>
      <w:b/>
      <w:bCs/>
      <w:color w:val="0B15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2026-07-13T10:27:37.951Z</dcterms:created>
  <dcterms:modified xsi:type="dcterms:W3CDTF">2026-07-13T10:27:37.952Z</dcterms:modified>
</cp:coreProperties>
</file>

<file path=docProps/custom.xml><?xml version="1.0" encoding="utf-8"?>
<Properties xmlns="http://schemas.openxmlformats.org/officeDocument/2006/custom-properties" xmlns:vt="http://schemas.openxmlformats.org/officeDocument/2006/docPropsVTypes"/>
</file>