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ind w:firstLine="0"/>
        <w:jc w:val="left"/>
      </w:pPr>
      <w:r>
        <w:rPr>
          <w:b/>
          <w:i w:val="0"/>
          <w:sz w:val="28"/>
          <w:rFonts w:ascii="Times New Roman" w:hAnsi="Times New Roman" w:cs="Times New Roman" w:eastAsia="Times New Roman"/>
        </w:rPr>
        <w:t>Material Complementar</w:t>
      </w:r>
    </w:p>
    <w:p>
      <w:pPr>
        <w:spacing w:before="120" w:after="0" w:line="240" w:lineRule="auto"/>
        <w:ind w:firstLine="0"/>
        <w:jc w:val="both"/>
      </w:pPr>
      <w:r>
        <w:rPr>
          <w:b w:val="0"/>
          <w:i/>
          <w:sz w:val="24"/>
          <w:rFonts w:ascii="Times New Roman" w:hAnsi="Times New Roman" w:cs="Times New Roman" w:eastAsia="Times New Roman"/>
        </w:rPr>
        <w:t>BrainSniffer: uma rede convolucional compacta e causal para estimar a referência bispectral a partir do eletroencefalograma frontal</w:t>
      </w:r>
    </w:p>
    <w:p>
      <w:pPr>
        <w:spacing w:before="120" w:after="0" w:line="240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Este arquivo reúne os elementos gráficos que excedem o limite de dez elementos do corpo do artigo. São citados no texto como Material Complementar.</w:t>
      </w:r>
    </w:p>
    <w:p>
      <w:pPr>
        <w:spacing w:before="240" w:after="0" w:line="240" w:lineRule="auto"/>
        <w:ind w:firstLine="0"/>
        <w:jc w:val="left"/>
      </w:pPr>
      <w:r>
        <w:rPr>
          <w:b/>
          <w:i w:val="0"/>
          <w:sz w:val="22"/>
          <w:rFonts w:ascii="Times New Roman" w:hAnsi="Times New Roman" w:cs="Times New Roman" w:eastAsia="Times New Roman"/>
        </w:rPr>
        <w:t>Figura S1: Composição e qualidade do corpus (59 casos).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4697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pus_pane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469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Fonte: elaboração própria.</w:t>
      </w:r>
    </w:p>
    <w:p>
      <w:pPr>
        <w:spacing w:before="240" w:after="0" w:line="240" w:lineRule="auto"/>
        <w:ind w:firstLine="0"/>
        <w:jc w:val="left"/>
      </w:pPr>
      <w:r>
        <w:rPr>
          <w:b/>
          <w:i w:val="0"/>
          <w:sz w:val="22"/>
          <w:rFonts w:ascii="Times New Roman" w:hAnsi="Times New Roman" w:cs="Times New Roman" w:eastAsia="Times New Roman"/>
        </w:rPr>
        <w:t>Figura S2: Treinamento do ativo e calibração por braço.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4697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pane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469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Fonte: elaboração própria.</w:t>
      </w:r>
    </w:p>
    <w:p>
      <w:pPr>
        <w:spacing w:before="240" w:after="0" w:line="240" w:lineRule="auto"/>
        <w:ind w:firstLine="0"/>
        <w:jc w:val="left"/>
      </w:pPr>
      <w:r>
        <w:rPr>
          <w:b/>
          <w:i w:val="0"/>
          <w:sz w:val="22"/>
          <w:rFonts w:ascii="Times New Roman" w:hAnsi="Times New Roman" w:cs="Times New Roman" w:eastAsia="Times New Roman"/>
        </w:rPr>
        <w:t>Figura S3: Bootstrap agrupado por caso e sensibilidade ao offset do rótulo. (a,b) IC 95% por caso, bruto e EWMA span 10. (c,d) Grade de offset -20 a +20 s, eixos ampliados (variação total ≤ 0,5 ponto de MAE e 0,04 de Pearson).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4577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tstrap_offs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457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Fonte: elaboração própria.</w:t>
      </w:r>
    </w:p>
    <w:p>
      <w:pPr>
        <w:spacing w:before="120" w:after="0" w:line="240" w:lineRule="auto"/>
        <w:ind w:firstLine="0"/>
        <w:jc w:val="left"/>
      </w:pPr>
      <w:r>
        <w:rPr>
          <w:b/>
          <w:i w:val="0"/>
          <w:sz w:val="22"/>
          <w:rFonts w:ascii="Times New Roman" w:hAnsi="Times New Roman" w:cs="Times New Roman" w:eastAsia="Times New Roman"/>
        </w:rPr>
        <w:t>Tabela S1: Braços fatoriais novos (brutos, sem EWMA); MAE em pontos BIS; IC 95% por bootstrap agrupado por caso; CCC é o coeficiente de Lin.</w:t>
      </w:r>
    </w:p>
    <w:tbl>
      <w:tblPr>
        <w:tblW w:type="auto" w:w="0"/>
        <w:tblBorders>
          <w:top w:val="single" w:sz="12" w:space="0" w:color="404040"/>
          <w:left w:val="none" w:sz="0" w:space="0" w:color="auto"/>
          <w:bottom w:val="single" w:sz="12" w:space="0" w:color="404040"/>
          <w:right w:val="none" w:sz="0" w:space="0" w:color="auto"/>
          <w:insideH w:val="single" w:sz="4" w:space="0" w:color="D9D9D9"/>
          <w:insideV w:val="none" w:sz="0" w:space="0" w:color="auto"/>
        </w:tblBorders>
        <w:tblLayout w:type="fixed"/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1247"/>
        <w:gridCol w:w="1758"/>
        <w:gridCol w:w="1984"/>
        <w:gridCol w:w="1474"/>
        <w:gridCol w:w="1588"/>
        <w:gridCol w:w="1588"/>
      </w:tblGrid>
      <w:tr>
        <w:trPr>
          <w:tblHeader w:val="true"/>
        </w:trPr>
        <w:tc>
          <w:tcPr>
            <w:tcW w:type="dxa" w:w="1247"/>
            <w:tcBorders>
              <w:bottom w:val="single" w:sz="8" w:space="0" w:color="40404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sz w:val="22"/>
                <w:rFonts w:ascii="Times New Roman" w:hAnsi="Times New Roman" w:cs="Times New Roman" w:eastAsia="Times New Roman"/>
              </w:rPr>
              <w:t>Benchmark</w:t>
            </w:r>
          </w:p>
        </w:tc>
        <w:tc>
          <w:tcPr>
            <w:tcW w:type="dxa" w:w="1757"/>
            <w:tcBorders>
              <w:bottom w:val="single" w:sz="8" w:space="0" w:color="40404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i w:val="0"/>
                <w:sz w:val="22"/>
                <w:rFonts w:ascii="Times New Roman" w:hAnsi="Times New Roman" w:cs="Times New Roman" w:eastAsia="Times New Roman"/>
              </w:rPr>
              <w:t>Braço</w:t>
            </w:r>
          </w:p>
        </w:tc>
        <w:tc>
          <w:tcPr>
            <w:tcW w:type="dxa" w:w="1984"/>
            <w:tcBorders>
              <w:bottom w:val="single" w:sz="8" w:space="0" w:color="40404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sz w:val="22"/>
                <w:rFonts w:ascii="Times New Roman" w:hAnsi="Times New Roman" w:cs="Times New Roman" w:eastAsia="Times New Roman"/>
              </w:rPr>
              <w:t>MAE (IC 95%)</w:t>
            </w:r>
          </w:p>
        </w:tc>
        <w:tc>
          <w:tcPr>
            <w:tcW w:type="dxa" w:w="1474"/>
            <w:tcBorders>
              <w:bottom w:val="single" w:sz="8" w:space="0" w:color="40404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sz w:val="22"/>
                <w:rFonts w:ascii="Times New Roman" w:hAnsi="Times New Roman" w:cs="Times New Roman" w:eastAsia="Times New Roman"/>
              </w:rPr>
              <w:t>Pearson</w:t>
            </w:r>
          </w:p>
        </w:tc>
        <w:tc>
          <w:tcPr>
            <w:tcW w:type="dxa" w:w="1587"/>
            <w:tcBorders>
              <w:bottom w:val="single" w:sz="8" w:space="0" w:color="40404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sz w:val="22"/>
                <w:rFonts w:ascii="Times New Roman" w:hAnsi="Times New Roman" w:cs="Times New Roman" w:eastAsia="Times New Roman"/>
              </w:rPr>
              <w:t>CCC</w:t>
            </w:r>
          </w:p>
        </w:tc>
        <w:tc>
          <w:tcPr>
            <w:tcW w:type="dxa" w:w="1587"/>
            <w:tcBorders>
              <w:bottom w:val="single" w:sz="8" w:space="0" w:color="404040"/>
            </w:tcBorders>
            <w:shd w:val="clear" w:color="auto" w:fill="F2F2F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i w:val="0"/>
                <w:sz w:val="22"/>
                <w:rFonts w:ascii="Times New Roman" w:hAnsi="Times New Roman" w:cs="Times New Roman" w:eastAsia="Times New Roman"/>
              </w:rPr>
              <w:t>Pk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Figshare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A (reprodução)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7,03 (6,36–8,27)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0,780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0,777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0,773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Figshare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B (winsor)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8,19 (6,78–10,01)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0,699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0,661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0,758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Figshare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C (Huber+longo)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6,63 (6,03–7,67)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0,824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0,820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0,780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Figshare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D (z por sujeito)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7,14 (5,75–7,86)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0,833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0,830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0,772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VitalDB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A (reprodução)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12,64 (11,38–14,43)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0,056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0,051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0,524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VitalDB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B (winsor)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12,04 (10,89–13,74)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0,238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0,194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0,528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VitalDB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C (Huber+longo)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12,61 (11,40–14,22)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0,145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0,134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0,553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VitalDB</w:t>
            </w:r>
          </w:p>
        </w:tc>
        <w:tc>
          <w:tcPr>
            <w:tcW w:type="dxa" w:w="175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D (z por sujeito)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12,41 (11,35–13,67)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0,185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0,168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i w:val="0"/>
                <w:sz w:val="22"/>
                <w:rFonts w:ascii="Times New Roman" w:hAnsi="Times New Roman" w:cs="Times New Roman" w:eastAsia="Times New Roman"/>
              </w:rPr>
              <w:t>0,536</w:t>
            </w:r>
          </w:p>
        </w:tc>
      </w:tr>
    </w:tbl>
    <w:p>
      <w:pPr>
        <w:spacing w:before="0" w:after="120" w:line="240" w:lineRule="auto"/>
        <w:ind w:firstLine="0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Fonte: elaboração própria.</w:t>
      </w:r>
    </w:p>
    <w:sectPr w:rsidR="00FC693F" w:rsidRPr="0006063C" w:rsidSect="00034616">
      <w:pgSz w:w="11906" w:h="16838"/>
      <w:pgMar w:top="1984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