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00" w:before="0" w:line="300"/>
        <w:jc w:val="left"/>
      </w:pPr>
      <w:r>
        <w:rPr>
          <w:b/>
          <w:bCs/>
          <w:color w:val="1F4E79"/>
          <w:sz w:val="20"/>
          <w:szCs w:val="20"/>
        </w:rPr>
        <w:t xml:space="preserve">PROPOSTA DE PROJETO DE DISSERTAÇÃO DE MESTRADO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color="auto" w:val="clear"/>
            <w:tcMar>
              <w:top w:type="dxa" w:w="420"/>
              <w:left w:type="dxa" w:w="420"/>
              <w:bottom w:type="dxa" w:w="420"/>
              <w:right w:type="dxa" w:w="420"/>
            </w:tcMar>
          </w:tcPr>
          <w:p>
            <w:pPr>
              <w:spacing w:after="24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BrainSniffer Embarcado</w:t>
            </w:r>
          </w:p>
          <w:p>
            <w:pPr>
              <w:spacing w:after="120" w:line="340"/>
            </w:pPr>
            <w:r>
              <w:rPr>
                <w:color w:val="D6E4F0"/>
                <w:sz w:val="30"/>
                <w:szCs w:val="30"/>
              </w:rPr>
              <w:t xml:space="preserve">Implantação de uma rede neural convolucional para estimativa de BIS em microcontroladores ESP32, com preservação de desempenho</w:t>
            </w:r>
          </w:p>
        </w:tc>
      </w:tr>
    </w:tbl>
    <w:p>
      <w:pPr>
        <w:spacing w:after="900"/>
      </w:pPr>
    </w:p>
    <w:p>
      <w:pPr>
        <w:spacing w:after="100" w:before="0" w:line="300"/>
        <w:jc w:val="left"/>
      </w:pPr>
      <w:r>
        <w:rPr>
          <w:b/>
          <w:bCs/>
          <w:sz w:val="24"/>
          <w:szCs w:val="24"/>
        </w:rPr>
        <w:t xml:space="preserve">Autor:</w:t>
      </w:r>
      <w:r>
        <w:rPr>
          <w:sz w:val="24"/>
          <w:szCs w:val="24"/>
        </w:rPr>
        <w:t xml:space="preserve"> Bruno Rocha Guimarães</w:t>
      </w:r>
    </w:p>
    <w:p>
      <w:pPr>
        <w:spacing w:after="100" w:before="0" w:line="300"/>
        <w:jc w:val="left"/>
      </w:pPr>
      <w:r>
        <w:rPr>
          <w:b/>
          <w:bCs/>
          <w:sz w:val="24"/>
          <w:szCs w:val="24"/>
        </w:rPr>
        <w:t xml:space="preserve">Orientador(a):</w:t>
      </w:r>
      <w:r>
        <w:rPr>
          <w:sz w:val="24"/>
          <w:szCs w:val="24"/>
        </w:rPr>
        <w:t xml:space="preserve"> [a definir]</w:t>
      </w:r>
    </w:p>
    <w:p>
      <w:pPr>
        <w:spacing w:after="100" w:before="0" w:line="300"/>
        <w:jc w:val="left"/>
      </w:pPr>
      <w:r>
        <w:rPr>
          <w:b/>
          <w:bCs/>
          <w:sz w:val="24"/>
          <w:szCs w:val="24"/>
        </w:rPr>
        <w:t xml:space="preserve">Programa de pós-graduação:</w:t>
      </w:r>
      <w:r>
        <w:rPr>
          <w:sz w:val="24"/>
          <w:szCs w:val="24"/>
        </w:rPr>
        <w:t xml:space="preserve"> [nome do programa]</w:t>
      </w:r>
    </w:p>
    <w:p>
      <w:pPr>
        <w:spacing w:after="600" w:before="0" w:line="300"/>
        <w:jc w:val="left"/>
      </w:pPr>
      <w:r>
        <w:rPr>
          <w:b/>
          <w:bCs/>
          <w:sz w:val="24"/>
          <w:szCs w:val="24"/>
        </w:rPr>
        <w:t xml:space="preserve">Instituição:</w:t>
      </w:r>
      <w:r>
        <w:rPr>
          <w:sz w:val="24"/>
          <w:szCs w:val="24"/>
        </w:rPr>
        <w:t xml:space="preserve"> [nome da instituição]</w:t>
      </w:r>
    </w:p>
    <w:p>
      <w:pPr>
        <w:spacing w:after="140" w:before="0" w:line="300"/>
        <w:jc w:val="left"/>
      </w:pPr>
      <w:r>
        <w:rPr>
          <w:color w:val="6B7280"/>
          <w:sz w:val="19"/>
          <w:szCs w:val="19"/>
        </w:rPr>
        <w:t xml:space="preserve">Versão 1.0 · outubro de 2026 · documento de trabalho, não submetido</w:t>
      </w:r>
    </w:p>
    <w:p>
      <w:pPr>
        <w:pStyle w:val="Heading1"/>
        <w:pageBreakBefore/>
      </w:pPr>
      <w:r>
        <w:rPr>
          <w:b/>
          <w:bCs/>
        </w:rPr>
        <w:t xml:space="preserve">Sumário</w:t>
      </w:r>
    </w:p>
    <w:p>
      <w:pPr>
        <w:spacing w:after="90" w:before="0" w:line="300"/>
        <w:jc w:val="left"/>
      </w:pPr>
      <w:r>
        <w:t xml:space="preserve">1  Resumo</w:t>
      </w:r>
    </w:p>
    <w:p>
      <w:pPr>
        <w:spacing w:after="90" w:before="0" w:line="300"/>
        <w:jc w:val="left"/>
      </w:pPr>
      <w:r>
        <w:t xml:space="preserve">2  Introdução</w:t>
      </w:r>
    </w:p>
    <w:p>
      <w:pPr>
        <w:spacing w:after="90" w:before="0" w:line="300"/>
        <w:jc w:val="left"/>
      </w:pPr>
      <w:r>
        <w:t xml:space="preserve">3  Justificativa</w:t>
      </w:r>
    </w:p>
    <w:p>
      <w:pPr>
        <w:spacing w:after="90" w:before="0" w:line="300"/>
        <w:jc w:val="left"/>
      </w:pPr>
      <w:r>
        <w:t xml:space="preserve">4  Problema de pesquisa e questões</w:t>
      </w:r>
    </w:p>
    <w:p>
      <w:pPr>
        <w:spacing w:after="90" w:before="0" w:line="300"/>
        <w:jc w:val="left"/>
      </w:pPr>
      <w:r>
        <w:t xml:space="preserve">5  Objetivos</w:t>
      </w:r>
    </w:p>
    <w:p>
      <w:pPr>
        <w:spacing w:after="90" w:before="0" w:line="300"/>
        <w:jc w:val="left"/>
      </w:pPr>
      <w:r>
        <w:t xml:space="preserve">6  Hipóteses e critérios de sucesso</w:t>
      </w:r>
    </w:p>
    <w:p>
      <w:pPr>
        <w:spacing w:after="90" w:before="0" w:line="300"/>
        <w:jc w:val="left"/>
      </w:pPr>
      <w:r>
        <w:t xml:space="preserve">7  Fundamentação teórica</w:t>
      </w:r>
    </w:p>
    <w:p>
      <w:pPr>
        <w:spacing w:after="90" w:before="0" w:line="300"/>
        <w:jc w:val="left"/>
      </w:pPr>
      <w:r>
        <w:t xml:space="preserve">8  Trabalhos relacionados</w:t>
      </w:r>
    </w:p>
    <w:p>
      <w:pPr>
        <w:spacing w:after="90" w:before="0" w:line="300"/>
        <w:jc w:val="left"/>
      </w:pPr>
      <w:r>
        <w:t xml:space="preserve">9  Ponto de partida: o BrainSniffer atual</w:t>
      </w:r>
    </w:p>
    <w:p>
      <w:pPr>
        <w:spacing w:after="90" w:before="0" w:line="300"/>
        <w:jc w:val="left"/>
      </w:pPr>
      <w:r>
        <w:t xml:space="preserve">10  Metodologia</w:t>
      </w:r>
    </w:p>
    <w:p>
      <w:pPr>
        <w:spacing w:after="90" w:before="0" w:line="300"/>
        <w:jc w:val="left"/>
      </w:pPr>
      <w:r>
        <w:t xml:space="preserve">11  Cronograma</w:t>
      </w:r>
    </w:p>
    <w:p>
      <w:pPr>
        <w:spacing w:after="90" w:before="0" w:line="300"/>
        <w:jc w:val="left"/>
      </w:pPr>
      <w:r>
        <w:t xml:space="preserve">12  Resultados esperados e produtos</w:t>
      </w:r>
    </w:p>
    <w:p>
      <w:pPr>
        <w:spacing w:after="90" w:before="0" w:line="300"/>
        <w:jc w:val="left"/>
      </w:pPr>
      <w:r>
        <w:t xml:space="preserve">13  Riscos e mitigação</w:t>
      </w:r>
    </w:p>
    <w:p>
      <w:pPr>
        <w:spacing w:after="90" w:before="0" w:line="300"/>
        <w:jc w:val="left"/>
      </w:pPr>
      <w:r>
        <w:t xml:space="preserve">14  Ética, regulação e licenças</w:t>
      </w:r>
    </w:p>
    <w:p>
      <w:pPr>
        <w:spacing w:after="90" w:before="0" w:line="300"/>
        <w:jc w:val="left"/>
      </w:pPr>
      <w:r>
        <w:t xml:space="preserve">15  Infraestrutura e orçamento</w:t>
      </w:r>
    </w:p>
    <w:p>
      <w:pPr>
        <w:spacing w:after="90" w:before="0" w:line="300"/>
        <w:jc w:val="left"/>
      </w:pPr>
      <w:r>
        <w:t xml:space="preserve">16  Limitações</w:t>
      </w:r>
    </w:p>
    <w:p>
      <w:pPr>
        <w:spacing w:after="90" w:before="0" w:line="300"/>
        <w:jc w:val="left"/>
      </w:pPr>
      <w:r>
        <w:t xml:space="preserve">17  Referências</w:t>
      </w:r>
    </w:p>
    <w:p>
      <w:pPr>
        <w:spacing w:after="90" w:before="0" w:line="300"/>
        <w:jc w:val="left"/>
      </w:pPr>
      <w:r>
        <w:t xml:space="preserve">Anexo A  Cálculo de recursos da CNN</w:t>
      </w:r>
    </w:p>
    <w:p>
      <w:pPr>
        <w:spacing w:after="90" w:before="0" w:line="300"/>
        <w:jc w:val="left"/>
      </w:pPr>
      <w:r>
        <w:t xml:space="preserve">Anexo B  Glossário</w:t>
      </w:r>
    </w:p>
    <w:p>
      <w:pPr>
        <w:pStyle w:val="Heading1"/>
        <w:keepNext/>
      </w:pPr>
      <w:r>
        <w:t xml:space="preserve">1 Resumo</w:t>
      </w:r>
    </w:p>
    <w:p>
      <w:pPr>
        <w:spacing w:after="140" w:before="0" w:line="300"/>
        <w:jc w:val="left"/>
      </w:pPr>
      <w:r>
        <w:t xml:space="preserve">A profundidade anestésica é acompanhada durante cirurgias sob anestesia geral, em geral com índices calculados a partir do eletroencefalograma (EEG) por monitores comerciais. O índice bispectral (BIS) é uma escala de 0 a 100 obtida por algoritmo proprietário, e o equipamento que o calcula depende de sensores descartáveis e de infraestrutura hospitalar. Este projeto propõe levar a rede neural convolucional 1-D desenvolvida no projeto BrainSniffer para microcontroladores de baixo custo (ESP32 e ESP32-S3), que estimam um valor do tipo BIS a partir de uma janela de 5 s de EEG frontal amostrada a 128 Hz.</w:t>
      </w:r>
    </w:p>
    <w:p>
      <w:pPr>
        <w:spacing w:after="140" w:before="0" w:line="300"/>
        <w:jc w:val="left"/>
      </w:pPr>
      <w:r>
        <w:t xml:space="preserve">O trabalho investiga três questões: (i) quanto da qualidade da estimativa se perde na implantação, medindo a fidelidade entre as saídas do microcontrolador e as do modelo de referência em computador; (ii) como a quantização INT8, o treinamento consciente de quantização e a destilação para uma arquitetura menor afetam o desempenho; e (iii) qual é o custo em latência, memória e energia em hardware real. A avaliação usa as mesmas divisões por caso e as mesmas métricas do TCC, o que permite comparação direta. O projeto não tem finalidade clínica: seus resultados são de engenharia e devem ser lidos como prova de conceito, sem validação clínica.</w:t>
      </w:r>
    </w:p>
    <w:p>
      <w:pPr>
        <w:spacing w:after="140" w:before="0" w:line="300"/>
        <w:jc w:val="left"/>
      </w:pPr>
      <w:r>
        <w:rPr>
          <w:b/>
          <w:bCs/>
        </w:rPr>
        <w:t xml:space="preserve">Palavras-chave:</w:t>
      </w:r>
      <w:r>
        <w:t xml:space="preserve"> EEG; índice BIS; aprendizado profundo; TinyML; ESP32; quantização; sistemas embarcados.</w:t>
      </w:r>
    </w:p>
    <w:p>
      <w:pPr>
        <w:pStyle w:val="Heading1"/>
        <w:keepNext/>
      </w:pPr>
      <w:r>
        <w:t xml:space="preserve">2 Introdução</w:t>
      </w:r>
    </w:p>
    <w:p>
      <w:pPr>
        <w:spacing w:after="140" w:before="0" w:line="300"/>
        <w:jc w:val="left"/>
      </w:pPr>
      <w:r>
        <w:t xml:space="preserve">A anestesia geral exige ajuste contínuo da profundidade anestésica. Monitores comerciais oferecem índices derivados do EEG frontal para apoiar essa avaliação, e o BIS é o mais difundido entre eles. Trata-se de um índice processado, não de uma medida direta de consciência: sua interpretação depende de artefatos, de fármacos e do contexto clínico (SMITH; DUTTON; SMITH, 1996; JOHANSEN; SEBEL, 2000; RAMPIL, 1998).</w:t>
      </w:r>
    </w:p>
    <w:p>
      <w:pPr>
        <w:spacing w:after="140" w:before="0" w:line="300"/>
        <w:jc w:val="left"/>
      </w:pPr>
      <w:r>
        <w:t xml:space="preserve">Ensaios clínicos sobre o uso do BIS para prevenir consciência intraoperatória apresentaram resultados heterogêneos entre desenhos e populações (MYLES et al., 2004; AVIDAN et al., 2011). Além disso, o algoritmo é proprietário e o índice tem atraso de cálculo, aspecto analisado em detalhe por Pilge et al. (2006). A reimplementação aberta publicada por Connor (2022) mostra que há interesse em tornar esses algoritmos auditáveis.</w:t>
      </w:r>
    </w:p>
    <w:p>
      <w:pPr>
        <w:spacing w:after="140" w:before="0" w:line="300"/>
        <w:jc w:val="left"/>
      </w:pPr>
      <w:r>
        <w:t xml:space="preserve">Redes neurais que estimam índices de profundidade anestésica a partir de um único canal de EEG já são uma linha ativa de pesquisa (PARK et al., 2020; SHI et al., 2023; SUKRITI et al., 2026). Os trabalhos em aprendizado profundo para EEG mostram que arquiteturas convolucionais compactas são adequadas a esse tipo de sinal (SCHIRRMEISTER et al., 2017; LAWHERN et al., 2018).</w:t>
      </w:r>
    </w:p>
    <w:p>
      <w:pPr>
        <w:spacing w:after="140" w:before="0" w:line="300"/>
        <w:jc w:val="left"/>
      </w:pPr>
      <w:r>
        <w:t xml:space="preserve">O projeto BrainSniffer já treinou uma CNN 1-D que faz essa estimativa sobre bases públicas, com divisão por caso, avaliação em um conjunto externo e um resultado negativo registrado (seção 9). O passo seguinte natural, que este mestrado propõe, é verificar se essa rede pode rodar em um microcontrolador de baixo custo sem perder o comportamento que foi medido no computador.</w:t>
      </w:r>
    </w:p>
    <w:p>
      <w:pPr>
        <w:pStyle w:val="Heading1"/>
        <w:keepNext/>
      </w:pPr>
      <w:r>
        <w:t xml:space="preserve">3 Justificativa</w:t>
      </w:r>
    </w:p>
    <w:p>
      <w:pPr>
        <w:pStyle w:val="Heading2"/>
        <w:keepNext/>
      </w:pPr>
      <w:r>
        <w:t xml:space="preserve">3.1 Acesso e custo</w:t>
      </w:r>
    </w:p>
    <w:p>
      <w:pPr>
        <w:spacing w:after="140" w:before="0" w:line="300"/>
        <w:jc w:val="left"/>
      </w:pPr>
      <w:r>
        <w:t xml:space="preserve">O monitoramento do BIS depende de equipamento comercial e de sensores descartáveis, o que limita o uso em centros com menos recursos e em procedimentos fora do centro cirúrgico, como sedações em endoscopia. Uma estimativa embarcada em um microcontrolador de custo baixo amplia o potencial de acesso, desde que seu desempenho seja demonstrado com rigor. Este mestrado não pretende substituir o monitor, mas testar se a estimativa é tecnicamente viável nessa plataforma.</w:t>
      </w:r>
    </w:p>
    <w:p>
      <w:pPr>
        <w:pStyle w:val="Heading2"/>
        <w:keepNext/>
      </w:pPr>
      <w:r>
        <w:t xml:space="preserve">3.2 Operação local, latência e privacidade</w:t>
      </w:r>
    </w:p>
    <w:p>
      <w:pPr>
        <w:spacing w:after="140" w:before="0" w:line="300"/>
        <w:jc w:val="left"/>
      </w:pPr>
      <w:r>
        <w:t xml:space="preserve">Processar o sinal no próprio dispositivo evita depender de rede e de nuvem, o que reduz latência e a exposição de dados. Dados de saúde são dados pessoais sensíveis pela Lei Geral de Proteção de Dados (BRASIL, 2018, art. 5º, II), e um dispositivo que processa localmente simplifica a governança desses dados. A latência também importa: o índice do monitor já é calculado com atraso (PILGE et al., 2006), e qualquer atraso adicional de processamento deve ser medido e limitado.</w:t>
      </w:r>
    </w:p>
    <w:p>
      <w:pPr>
        <w:pStyle w:val="Heading2"/>
        <w:keepNext/>
      </w:pPr>
      <w:r>
        <w:t xml:space="preserve">3.3 Lacuna de pesquisa</w:t>
      </w:r>
    </w:p>
    <w:p>
      <w:pPr>
        <w:spacing w:after="140" w:before="0" w:line="300"/>
        <w:jc w:val="left"/>
      </w:pPr>
      <w:r>
        <w:t xml:space="preserve">A maioria dos trabalhos de TinyML e de EEG em microcontroladores trata de tarefas de classificação, como imagética motora (INGOLFSSON et al., 2020; SCHNEIDER et al., 2020) e detecção de crises (LIU; RICHARDSON, 2021; INGOLFSSON et al., 2023). A estimativa contínua de um índice do tipo BIS, com saída em escala e com a exigência de fidelidade entre o modelo original e o embarcado, é menos explorada. Na revisão feita para esta proposta não encontramos um trabalho que combine essas três condições; a revisão é limitada e deve ser ampliada na Fase 1.</w:t>
      </w:r>
    </w:p>
    <w:p>
      <w:pPr>
        <w:pStyle w:val="Heading2"/>
        <w:keepNext/>
      </w:pPr>
      <w:r>
        <w:t xml:space="preserve">3.4 Por que o ESP32 e o ESP32-S3</w:t>
      </w:r>
    </w:p>
    <w:p>
      <w:pPr>
        <w:spacing w:after="140" w:before="0" w:line="300"/>
        <w:jc w:val="left"/>
      </w:pPr>
      <w:r>
        <w:t xml:space="preserve">A família ESP32 combina custo baixo, conectividade sem fio, unidade de ponto flutuante de precisão simples e bibliotecas de inferência otimizadas pelo fabricante (ESPRESSIF SYSTEMS, s.d.a; ESPRESSIF SYSTEMS, s.d.b). A variante ESP32-S3 possui instruções vetoriais que o ESP-NN explora nos kernels de convolução (ESPRESSIF SYSTEMS, s.d.c). O próprio fabricante reporta, para uma rede MobileNetV3-Small em INT8 com entrada de 224 × 224, tempo de inferência de cerca de 26 s sem o ESP-NN e de 1,4 s com ele no S3, com a arena de tensores em PSRAM (ESPRESSIF SYSTEMS, s.d.c), o que mostra que a escolha dos kernels pesa tanto quanto o modelo. Por isso o ESP32 clássico entra como comparador, para medir o efeito do hardware.</w:t>
      </w:r>
    </w:p>
    <w:p>
      <w:pPr>
        <w:pStyle w:val="Heading2"/>
        <w:keepNext/>
      </w:pPr>
      <w:r>
        <w:t xml:space="preserve">3.5 Por que a fidelidade é o problema central</w:t>
      </w:r>
    </w:p>
    <w:p>
      <w:pPr>
        <w:spacing w:after="140" w:before="0" w:line="300"/>
        <w:jc w:val="left"/>
      </w:pPr>
      <w:r>
        <w:t xml:space="preserve">Caber na memória não basta. Um modelo que roda no microcontrolador, mas com saídas diferentes das do modelo de referência, é outro modelo. Por isso o protocolo separa dois erros: o erro de </w:t>
      </w:r>
      <w:r>
        <w:rPr>
          <w:b/>
          <w:bCs/>
        </w:rPr>
        <w:t xml:space="preserve">quantização</w:t>
      </w:r>
      <w:r>
        <w:t xml:space="preserve"> (diferença entre o modelo em ponto flutuante e o modelo INT8) e o erro de </w:t>
      </w:r>
      <w:r>
        <w:rPr>
          <w:b/>
          <w:bCs/>
        </w:rPr>
        <w:t xml:space="preserve">implementação</w:t>
      </w:r>
      <w:r>
        <w:t xml:space="preserve"> (diferença entre o modelo INT8 simulado no computador e a execução no microcontrolador). Medidos separadamente, eles indicam onde o desempenho se perde.</w:t>
      </w:r>
    </w:p>
    <w:p>
      <w:pPr>
        <w:spacing w:after="140" w:before="0" w:line="300"/>
        <w:jc w:val="left"/>
      </w:pPr>
      <w:r>
        <w:t xml:space="preserve">Há ainda um motivo técnico para tratar a generalização como parte do problema. No conjunto VitalDB, o modelo ativo do BrainSniffer, avaliado sem retreino, teve correlação de 0,024 com o BIS de referência (seção 9.2). Embarcar um modelo que não transporta bem entre fontes resolveria apenas uma parte do problema. Por isso a questão de generalização entra como pergunta de pesquisa (RQ3).</w:t>
      </w:r>
    </w:p>
    <w:p>
      <w:pPr>
        <w:pStyle w:val="Heading1"/>
        <w:keepNext/>
      </w:pPr>
      <w:r>
        <w:t xml:space="preserve">4 Problema de pesquisa e questões</w:t>
      </w:r>
    </w:p>
    <w:p>
      <w:pPr>
        <w:spacing w:after="140" w:before="0" w:line="300"/>
        <w:jc w:val="left"/>
      </w:pPr>
      <w:r>
        <w:rPr>
          <w:b/>
          <w:bCs/>
        </w:rPr>
        <w:t xml:space="preserve">Pergunta principal:</w:t>
      </w:r>
      <w:r>
        <w:t xml:space="preserve"> é possível executar uma CNN de estimativa de BIS em um microcontrolador ESP32 em tempo real, mantendo desempenho próximo ao do modelo de referência em computador e dentro de limites de memória, latência e energia?</w:t>
      </w:r>
    </w:p>
    <w:p>
      <w:pPr>
        <w:spacing w:after="140" w:before="0" w:line="300"/>
        <w:jc w:val="left"/>
      </w:pPr>
      <w:r>
        <w:t xml:space="preserve">Desdobramos a pergunta principal em três questões de pesquisa: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RQ1 (quantização e compressão):</w:t>
      </w:r>
      <w:r>
        <w:t xml:space="preserve"> quanto do desempenho se perde ao converter o modelo para INT8 e ao reduzir sua arquitetura, e qual combinação oferece o melhor compromisso?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RQ2 (implementação e tempo real):</w:t>
      </w:r>
      <w:r>
        <w:t xml:space="preserve"> o microcontrolador reproduz as saídas da simulação, e a inferência cabe no orçamento de tempo e de memória do hardware escolhido?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RQ3 (generalização):</w:t>
      </w:r>
      <w:r>
        <w:t xml:space="preserve"> a queda de associação observada entre bases (Figshare para VitalDB) persiste, se agrava ou se atenua após a implantação?</w:t>
      </w:r>
    </w:p>
    <w:p>
      <w:pPr>
        <w:pStyle w:val="Heading1"/>
        <w:keepNext/>
      </w:pPr>
      <w:r>
        <w:t xml:space="preserve">5 Objetivos</w:t>
      </w:r>
    </w:p>
    <w:p>
      <w:pPr>
        <w:pStyle w:val="Heading2"/>
        <w:keepNext/>
      </w:pPr>
      <w:r>
        <w:t xml:space="preserve">5.1 Objetivo geral</w:t>
      </w:r>
    </w:p>
    <w:p>
      <w:pPr>
        <w:spacing w:after="140" w:before="0" w:line="300"/>
        <w:jc w:val="left"/>
      </w:pPr>
      <w:r>
        <w:t xml:space="preserve">Desenvolver e avaliar um protótipo embarcado, em ESP32 e ESP32-S3, da CNN de estimativa de BIS do BrainSniffer, preservando desempenho próximo ao modelo de referência e registrando, de forma reprodutível, o custo em memória, latência e energia.</w:t>
      </w:r>
    </w:p>
    <w:p>
      <w:pPr>
        <w:pStyle w:val="Heading2"/>
        <w:keepNext/>
      </w:pPr>
      <w:r>
        <w:t xml:space="preserve">5.2 Objetivos específicos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a)</w:t>
      </w:r>
      <w:r>
        <w:t xml:space="preserve"> estabelecer uma linha de base reprodutível: checkpoint, divisões por caso, métricas e hashes, com protocolo de avaliação comparável ao do TCC;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b)</w:t>
      </w:r>
      <w:r>
        <w:t xml:space="preserve"> construir e comparar candidatos comprimidos (INT8 pós-treinamento, INT8 com treinamento consciente de quantização e arquitetura reduzida por destilação);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c)</w:t>
      </w:r>
      <w:r>
        <w:t xml:space="preserve"> implementar o pré-processamento causal e a inferência no firmware, e verificar a fidelidade contra a simulação no computador;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d)</w:t>
      </w:r>
      <w:r>
        <w:t xml:space="preserve"> medir latência, memória, consumo de energia e robustez a artefatos, ruído e perdas de amostras;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e)</w:t>
      </w:r>
      <w:r>
        <w:t xml:space="preserve"> avaliar a generalização entre bases para o modelo embarcado, sem reajuste com os dados de teste;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f)</w:t>
      </w:r>
      <w:r>
        <w:t xml:space="preserve"> documentar o protocolo e liberar código, firmware e relatórios, com um model card atualizado e a checklist de boas práticas em aprendizado de máquina para dispositivos médicos.</w:t>
      </w:r>
    </w:p>
    <w:p>
      <w:pPr>
        <w:pStyle w:val="Heading2"/>
        <w:keepNext/>
      </w:pPr>
      <w:r>
        <w:t xml:space="preserve">5.3 Fora do escopo</w:t>
      </w:r>
    </w:p>
    <w:p>
      <w:pPr>
        <w:spacing w:after="140" w:before="0" w:line="300"/>
        <w:jc w:val="left"/>
      </w:pPr>
      <w:r>
        <w:t xml:space="preserve">Não fazem parte do projeto: uso clínico ou decisão terapêutica com base na estimativa; validação do índice contra um monitor BIS em pacientes; controle de infusão de fármacos; desenvolvimento de dispositivo médico regulado. Essas etapas dependem de protocolo prospectivo, aprovação ética, análise de risco e regulação, e são tratadas como trabalhos futuros (seção 16).</w:t>
      </w:r>
    </w:p>
    <w:p>
      <w:pPr>
        <w:pStyle w:val="Heading1"/>
        <w:keepNext/>
      </w:pPr>
      <w:r>
        <w:t xml:space="preserve">6 Hipóteses e critérios de sucesso</w:t>
      </w:r>
    </w:p>
    <w:p>
      <w:pPr>
        <w:spacing w:after="140" w:before="0" w:line="300"/>
        <w:jc w:val="left"/>
      </w:pPr>
      <w:r>
        <w:t xml:space="preserve">Os critérios abaixo são propostos para discussão com o orientador e devem ser congelados antes da avaliação final. Eles não foram testados ainda.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300"/>
        <w:gridCol w:w="2900"/>
        <w:gridCol w:w="2721"/>
      </w:tblGrid>
      <w:tr>
        <w:trPr>
          <w:tblHeader/>
        </w:trPr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Hipótese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 de decisão (pré-especificado)</w:t>
            </w:r>
          </w:p>
        </w:tc>
        <w:tc>
          <w:tcPr>
            <w:tcW w:type="dxa" w:w="272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Racional do limiar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H1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 quantização INT8 não degrada o modelo de forma relevante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No teste, pareado por caso, em relação ao M0: ΔMAE ≤ +0,5 e Δr ≥ −0,02</w:t>
            </w:r>
          </w:p>
        </w:tc>
        <w:tc>
          <w:tcPr>
            <w:tcW w:type="dxa" w:w="272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0,5 equivale a cerca de 7% do MAE de referência (7,03). O intervalo bootstrap do r no holdout atual vai de 0,703 a 0,881, então uma margem de 0,02 é estreita e deve ser discutida.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H2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O microcontrolador reproduz a simulação em computador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Diferença absoluta média entre a saída do MCU e a do modelo INT8 simulado ≤ 0,1 ponto BIS; concordância de faixa em ≥ 99% das janelas</w:t>
            </w:r>
          </w:p>
        </w:tc>
        <w:tc>
          <w:tcPr>
            <w:tcW w:type="dxa" w:w="272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Separa o erro de implementação do erro de quantização.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H3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 inferência cabe no orçamento de tempo real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p95 por janela ≤ 100 ms no ESP32-S3 e ≤ 500 ms no ESP32 clássico</w:t>
            </w:r>
          </w:p>
        </w:tc>
        <w:tc>
          <w:tcPr>
            <w:tcW w:type="dxa" w:w="272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Com 17,85 M MAC por emissão e intervalo de 1 s, 100 ms exigem cerca de 1,3 ciclo por MAC a 240 MHz, o que requer SIMD ou paralelismo entre núcleos. 500 ms exigem cerca de 6,7 ciclos por MAC.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H4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O modelo cabe na memória do hardware-alvo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Pico de RAM da inferência e dos buffers ≤ 150 KB; pesos armazenados em flash</w:t>
            </w:r>
          </w:p>
        </w:tc>
        <w:tc>
          <w:tcPr>
            <w:tcW w:type="dxa" w:w="272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Maior ativação de 20 KB em INT8 e pesos de 147 KB. O limite deixa folga para o sistema nos 512 KB de SRAM do ESP32-S3.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H5 (exploratória)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 queda de associação entre bases persiste após a implantação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Sem critério de sucesso: resultado reportado de forma descritiva</w:t>
            </w:r>
          </w:p>
        </w:tc>
        <w:tc>
          <w:tcPr>
            <w:tcW w:type="dxa" w:w="272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Trata a generalização como pergunta de pesquisa, não como detalhe.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7 Fundamentação teórica</w:t>
      </w:r>
    </w:p>
    <w:p>
      <w:pPr>
        <w:pStyle w:val="Heading2"/>
        <w:keepNext/>
      </w:pPr>
      <w:r>
        <w:t xml:space="preserve">7.1 BIS e EEG frontal</w:t>
      </w:r>
    </w:p>
    <w:p>
      <w:pPr>
        <w:spacing w:after="140" w:before="0" w:line="300"/>
        <w:jc w:val="left"/>
      </w:pPr>
      <w:r>
        <w:t xml:space="preserve">O EEG reflete a atividade elétrica cortical com resolução temporal alta, mas com amplitude de microvolts e forte contaminação por artefatos musculares e de movimento. Índices como o BIS condensam características espectrais e bispectrais do sinal em uma escala de 0 a 100 (JOHANSEN; SEBEL, 2000; PURDON et al., 2015). Entre os fundamentos do processamento de EEG em anestesia, Rampil (1998) é uma referência de base. A escolha de derivações frontais é usual nos monitores e a comparação com derivações occipitais tem sido estudada (SHIRAISHI et al., 2004).</w:t>
      </w:r>
    </w:p>
    <w:p>
      <w:pPr>
        <w:pStyle w:val="Heading2"/>
        <w:keepNext/>
      </w:pPr>
      <w:r>
        <w:t xml:space="preserve">7.2 Redes convolucionais 1-D para EEG</w:t>
      </w:r>
    </w:p>
    <w:p>
      <w:pPr>
        <w:spacing w:after="140" w:before="0" w:line="300"/>
        <w:jc w:val="left"/>
      </w:pPr>
      <w:r>
        <w:t xml:space="preserve">Redes convolucionais aplicadas diretamente ao sinal bruto ou pré-processado aprenderam filtros temporais e espaciais úteis para decodificação de EEG (SCHIRRMEISTER et al., 2017). Arquiteturas compactas com convoluções separáveis, como a EEGNet, foram propostas para uso com poucos dados e para restrições de recursos (LAWHERN et al., 2018). Uma revisão recente sobre aprendizado profundo para EEG é apresentada por Craik, He e Contreras-Vidal (2019), e a literatura de redes convolucionais 1-D em geral está resumida por Kiranyaz et al. (2021).</w:t>
      </w:r>
    </w:p>
    <w:p>
      <w:pPr>
        <w:pStyle w:val="Heading2"/>
        <w:keepNext/>
      </w:pPr>
      <w:r>
        <w:t xml:space="preserve">7.3 Compressão e quantização</w:t>
      </w:r>
    </w:p>
    <w:p>
      <w:pPr>
        <w:spacing w:after="140" w:before="0" w:line="300"/>
        <w:jc w:val="left"/>
      </w:pPr>
      <w:r>
        <w:rPr>
          <w:b/>
          <w:bCs/>
        </w:rPr>
        <w:t xml:space="preserve">Quantização</w:t>
      </w:r>
      <w:r>
        <w:t xml:space="preserve"> representa pesos e ativações com inteiros de 8 bits. Na </w:t>
      </w:r>
      <w:r>
        <w:rPr>
          <w:b/>
          <w:bCs/>
        </w:rPr>
        <w:t xml:space="preserve">quantização pós-treinamento (PTQ)</w:t>
      </w:r>
      <w:r>
        <w:t xml:space="preserve">, o modelo treinado é convertido com base em um conjunto de calibração; na </w:t>
      </w:r>
      <w:r>
        <w:rPr>
          <w:b/>
          <w:bCs/>
        </w:rPr>
        <w:t xml:space="preserve">quantização consciente de treinamento (QAT)</w:t>
      </w:r>
      <w:r>
        <w:t xml:space="preserve">, a perda de precisão é simulada durante o treino, o que costuma recuperar desempenho (JACOB et al., 2018). No deploy, a normalização em lote (BatchNorm) pode ser incorporada aos pesos da convolução, porque sua transformação é fixa após o treino. Normalizações que dependem das estatísticas de cada exemplo em tempo de execução, como a GroupNorm, não têm essa propriedade e adicionam operações na inferência.</w:t>
      </w:r>
    </w:p>
    <w:p>
      <w:pPr>
        <w:spacing w:after="140" w:before="0" w:line="300"/>
        <w:jc w:val="left"/>
      </w:pPr>
      <w:r>
        <w:rPr>
          <w:b/>
          <w:bCs/>
        </w:rPr>
        <w:t xml:space="preserve">Poda</w:t>
      </w:r>
      <w:r>
        <w:t xml:space="preserve"> remove conexões ou canais de pouca contribuição, e a </w:t>
      </w:r>
      <w:r>
        <w:rPr>
          <w:b/>
          <w:bCs/>
        </w:rPr>
        <w:t xml:space="preserve">compressão</w:t>
      </w:r>
      <w:r>
        <w:t xml:space="preserve"> combina poda, quantização e codificação para reduzir armazenamento (HAN; MAO; DALLY, 2016). </w:t>
      </w:r>
      <w:r>
        <w:rPr>
          <w:b/>
          <w:bCs/>
        </w:rPr>
        <w:t xml:space="preserve">Destilação</w:t>
      </w:r>
      <w:r>
        <w:t xml:space="preserve"> treina um modelo menor para reproduzir as saídas, ou distribuições de saída, de um modelo maior (HINTON; VINYALS; DEAN, 2015). Neste projeto, a destilação é a via para obter uma arquitetura reduzida a partir do modelo original.</w:t>
      </w:r>
    </w:p>
    <w:p>
      <w:pPr>
        <w:pStyle w:val="Heading2"/>
        <w:keepNext/>
      </w:pPr>
      <w:r>
        <w:t xml:space="preserve">7.4 Execução em microcontroladores</w:t>
      </w:r>
    </w:p>
    <w:p>
      <w:pPr>
        <w:spacing w:after="140" w:before="0" w:line="300"/>
        <w:jc w:val="left"/>
      </w:pPr>
      <w:r>
        <w:t xml:space="preserve">Frameworks de TinyML executam o modelo com um interpretador e um arena de tensores alocada em SRAM, o que torna o pico de memória uma grandeza a medir, e não apenas o tamanho do arquivo do modelo (DAVID et al., 2021). A co-otimização de arquitetura e de motor de execução foi proposta para dispositivos IoT com memória de poucos kilobytes (LIN et al., 2020). Benchmarks como o MLPerf Tiny propõem medir acurácia, latência e energia em conjunto (BANBURY et al., 2021), e a discussão sobre a falta de um padrão de comparação em TinyML é apresentada em Banbury et al. (2020). Para ARM Cortex-M, a biblioteca CMSIS-NN fornece kernels otimizados (LAI; SUDA; CHANDRA, 2018), que serão usados como referência de comparação conceitual quando couber.</w:t>
      </w:r>
    </w:p>
    <w:p>
      <w:pPr>
        <w:pStyle w:val="Heading2"/>
        <w:keepNext/>
      </w:pPr>
      <w:r>
        <w:t xml:space="preserve">7.5 Boas práticas regulatórias e de relato</w:t>
      </w:r>
    </w:p>
    <w:p>
      <w:pPr>
        <w:spacing w:after="140" w:before="0" w:line="300"/>
        <w:jc w:val="left"/>
      </w:pPr>
      <w:r>
        <w:t xml:space="preserve">A FDA, a Health Canada e a MHRA publicaram, em 2021, dez princípios de boas práticas de aprendizado de máquina para dispositivos médicos, com ênfase em dados representativos, separação entre treino e teste, avaliação em condições clinicamente relevantes e monitoramento após a implantação (FDA; HEALTH CANADA; MHRA, 2021). Para o relato de modelos preditivos, o TRIPOD+AI é o guia de referência (COLLINS et al., 2024). Para software de dispositivos médicos, a IEC 62304 define processos de ciclo de vida, a ISO 14971 trata da gestão de risco e a IEC 60601-1 trata da segurança elétrica de equipamentos (IEC, 2015; ISO, 2019; IEC, s.d.). Embora este projeto seja de pesquisa, essas referências orientam a documentação do protótipo.</w:t>
      </w:r>
    </w:p>
    <w:p>
      <w:pPr>
        <w:pStyle w:val="Heading1"/>
        <w:keepNext/>
      </w:pPr>
      <w:r>
        <w:t xml:space="preserve">8 Trabalhos relacionados</w:t>
      </w:r>
    </w:p>
    <w:p>
      <w:pPr>
        <w:spacing w:after="140" w:before="0" w:line="300"/>
        <w:jc w:val="left"/>
      </w:pPr>
      <w:r>
        <w:t xml:space="preserve">A tabela resume os trabalhos mais próximos da proposta. O critério de inclusão foi aproximação com um dos três eixos do projeto: estimativa de índice de profundidade anestésica, EEG em microcontroladores e compressão de redes para inferência embarcada. A lista não é uma revisão sistemática.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50"/>
        <w:gridCol w:w="2600"/>
        <w:gridCol w:w="2521"/>
      </w:tblGrid>
      <w:tr>
        <w:trPr>
          <w:tblHeader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Trabalho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Plataforma / método</w:t>
            </w:r>
          </w:p>
        </w:tc>
        <w:tc>
          <w:tcPr>
            <w:tcW w:type="dxa" w:w="252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Diferença em relação a este projeto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Park et al. (2020)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Profundidade anestésica em tempo real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DNN com front-end analógico de EEG dedicado</w:t>
            </w:r>
          </w:p>
        </w:tc>
        <w:tc>
          <w:tcPr>
            <w:tcW w:type="dxa" w:w="252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Foco no front-end de aquisição; este projeto parte de uma CNN treinada e foca na implantação em MCU comercial e na fidelidade numérica.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Shi et al. (2023)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Profundidade anestésica a partir de EEG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Rede residual com shrinkage</w:t>
            </w:r>
          </w:p>
        </w:tc>
        <w:tc>
          <w:tcPr>
            <w:tcW w:type="dxa" w:w="252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Eixo de modelagem; a implantação não é o objetivo.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Ingolfsson et al. (2020)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Imagética motora (classificação)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TCN compacta para dispositivos embarcados</w:t>
            </w:r>
          </w:p>
        </w:tc>
        <w:tc>
          <w:tcPr>
            <w:tcW w:type="dxa" w:w="252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Classificação, não regressão de um índice tipo BIS.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Schneider et al. (2020)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Imagética motora (classificação)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EEGNet em INT8 com execução paralela na borda</w:t>
            </w:r>
          </w:p>
        </w:tc>
        <w:tc>
          <w:tcPr>
            <w:tcW w:type="dxa" w:w="252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Mesma família de quantização, mas outra tarefa e outro modelo.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Liu e Richardson (2021)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Detecção e previsão de crises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Aprendizado profundo para implantes neurais</w:t>
            </w:r>
          </w:p>
        </w:tc>
        <w:tc>
          <w:tcPr>
            <w:tcW w:type="dxa" w:w="252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Classificação; ênfase em implante e consumo.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Ingolfsson et al. (2023)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Detecção de crises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INT8 em ARM e em PULP (GAP8/GAP9)</w:t>
            </w:r>
          </w:p>
        </w:tc>
        <w:tc>
          <w:tcPr>
            <w:tcW w:type="dxa" w:w="252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Classificação em outras plataformas; mostra a viabilidade de INT8 em EEG.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David et al. (2021)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Framework de inferência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TensorFlow Lite Micro</w:t>
            </w:r>
          </w:p>
        </w:tc>
        <w:tc>
          <w:tcPr>
            <w:tcW w:type="dxa" w:w="252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Ferramenta de base, não um estudo de EEG.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Banbury et al. (2021)</w:t>
            </w:r>
          </w:p>
        </w:tc>
        <w:tc>
          <w:tcPr>
            <w:tcW w:type="dxa" w:w="2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Benchmark de TinyML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MLPerf Tiny</w:t>
            </w:r>
          </w:p>
        </w:tc>
        <w:tc>
          <w:tcPr>
            <w:tcW w:type="dxa" w:w="252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Fornece o conjunto de métricas (acurácia, latência, energia).</w:t>
            </w:r>
          </w:p>
        </w:tc>
      </w:tr>
    </w:tbl>
    <w:p>
      <w:pPr>
        <w:spacing w:after="120"/>
      </w:pPr>
    </w:p>
    <w:p>
      <w:pPr>
        <w:spacing w:after="140" w:before="0" w:line="300"/>
        <w:jc w:val="left"/>
      </w:pPr>
      <w:r>
        <w:rPr>
          <w:b/>
          <w:bCs/>
        </w:rPr>
        <w:t xml:space="preserve">Síntese:</w:t>
      </w:r>
      <w:r>
        <w:t xml:space="preserve"> há trabalhos maduros de DoA com aprendizado profundo, e há trabalhos de EEG em microcontroladores com INT8, mas são tarefas de classificação. A combinação de regressão tipo BIS, implantação em MCU e avaliação de fidelidade por caso e por base é o espaço que este projeto ocupa.</w:t>
      </w:r>
    </w:p>
    <w:p>
      <w:pPr>
        <w:pStyle w:val="Heading1"/>
        <w:keepNext/>
      </w:pPr>
      <w:r>
        <w:t xml:space="preserve">9 Ponto de partida: o BrainSniffer atual</w:t>
      </w:r>
    </w:p>
    <w:p>
      <w:pPr>
        <w:spacing w:after="140" w:before="0" w:line="300"/>
        <w:jc w:val="left"/>
      </w:pPr>
      <w:r>
        <w:t xml:space="preserve">O BrainSniffer é um protótipo de pesquisa em Python que estima um valor tipo BIS a partir de EEG frontal de canal único. Esta seção reúne os fatos do estado atual, verificados no código e nos relatórios do repositório.</w:t>
      </w:r>
    </w:p>
    <w:p>
      <w:pPr>
        <w:pStyle w:val="Heading2"/>
        <w:keepNext/>
      </w:pPr>
      <w:r>
        <w:t xml:space="preserve">9.1 Arquitetura e recursos</w:t>
      </w:r>
    </w:p>
    <w:p>
      <w:pPr>
        <w:spacing w:after="140" w:before="0" w:line="300"/>
        <w:jc w:val="left"/>
      </w:pPr>
      <w:r>
        <w:t xml:space="preserve">A arquitetura ativa (</w:t>
      </w:r>
      <w:r>
        <w:rPr>
          <w:rFonts w:ascii="Courier New" w:cs="Courier New" w:eastAsia="Courier New" w:hAnsi="Courier New"/>
        </w:rPr>
        <w:t xml:space="preserve">Conv1DDepthEstimator</w:t>
      </w:r>
      <w:r>
        <w:t xml:space="preserve">) tem quatro blocos convolucionais com canais 1 → 32 → 64 → 128 → 128, normalização em lote, GELU e pooling, seguidos de uma regressão 128 → 64 → 1 com saída limitada por sigmoide a 0–100. A entrada é uma janela de 640 amostras (5 s a 128 Hz). A tabela resume os recursos; os valores de parâmetros e de operações foram obtidos contando diretamente o modelo (Anexo A).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71"/>
      </w:tblGrid>
      <w:tr>
        <w:trPr>
          <w:tblHeader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3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foi obtido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Parâmetros treináveis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146.817</w:t>
            </w:r>
          </w:p>
        </w:tc>
        <w:tc>
          <w:tcPr>
            <w:tcW w:type="dxa" w:w="3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Contagem direta no código do modelo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Operações (MAC) por janela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17.846.336 (≈ 17,85 M)</w:t>
            </w:r>
          </w:p>
        </w:tc>
        <w:tc>
          <w:tcPr>
            <w:tcW w:type="dxa" w:w="3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Contagem por camada (Anexo 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Pesos em float32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≈ 587 KB</w:t>
            </w:r>
          </w:p>
        </w:tc>
        <w:tc>
          <w:tcPr>
            <w:tcW w:type="dxa" w:w="3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146.817 × 4 bytes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Pesos em INT8 (estimativa)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≈ 147 KB</w:t>
            </w:r>
          </w:p>
        </w:tc>
        <w:tc>
          <w:tcPr>
            <w:tcW w:type="dxa" w:w="3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146.817 × 1 byte, sem metadados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Maior mapa de ativação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32 × 640 = 20.480 valores</w:t>
            </w:r>
          </w:p>
        </w:tc>
        <w:tc>
          <w:tcPr>
            <w:tcW w:type="dxa" w:w="3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Medido na saída da GELU do primeiro bloco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Ativação máxima em INT8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≈ 20 KB</w:t>
            </w:r>
          </w:p>
        </w:tc>
        <w:tc>
          <w:tcPr>
            <w:tcW w:type="dxa" w:w="3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20.480 × 1 byte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Pré-processamento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Passa-banda 0,5–45 Hz (4ª ordem), notch 50 Hz (Q = 30), clip ±100 µV, escala 50 µV</w:t>
            </w:r>
          </w:p>
        </w:tc>
        <w:tc>
          <w:tcPr>
            <w:tcW w:type="dxa" w:w="3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Configuração do checkpoint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Gates de qualidade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EEG finito ≥ 90%, lacuna ≤ 2 s, qualidade global ≥ 0,35, BIS válido ≥ 80%, qualidade por janela ≥ 0,20</w:t>
            </w:r>
          </w:p>
        </w:tc>
        <w:tc>
          <w:tcPr>
            <w:tcW w:type="dxa" w:w="3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Configuração do pipeline; janela abaixo do limiar gera abstenção</w:t>
            </w:r>
          </w:p>
        </w:tc>
      </w:tr>
    </w:tbl>
    <w:p>
      <w:pPr>
        <w:spacing w:after="120"/>
      </w:pPr>
    </w:p>
    <w:p>
      <w:pPr>
        <w:spacing w:after="140" w:before="0" w:line="300"/>
        <w:jc w:val="left"/>
      </w:pPr>
      <w:r>
        <w:t xml:space="preserve">Os valores de memória de ativação consideram só o maior tensor. O consumo real do arena depende do runtime e da estratégia de alocação, e será medido na Fase 3.</w:t>
      </w:r>
    </w:p>
    <w:p>
      <w:pPr>
        <w:pStyle w:val="Heading2"/>
        <w:keepNext/>
      </w:pPr>
      <w:r>
        <w:t xml:space="preserve">9.2 Resultados de referência</w:t>
      </w:r>
    </w:p>
    <w:p>
      <w:pPr>
        <w:spacing w:after="140" w:before="0" w:line="300"/>
        <w:jc w:val="left"/>
      </w:pPr>
      <w:r>
        <w:t xml:space="preserve">A tabela reúne os resultados registrados nos relatórios do repositório. Eles são retrospectivos e exploratórios, e não substituem uma avaliação prospectiva.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2100"/>
        <w:gridCol w:w="900"/>
        <w:gridCol w:w="1200"/>
        <w:gridCol w:w="1071"/>
      </w:tblGrid>
      <w:tr>
        <w:trPr>
          <w:tblHeader/>
        </w:trPr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Avaliação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Base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MAE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 de Pearson</w:t>
            </w:r>
          </w:p>
        </w:tc>
        <w:tc>
          <w:tcPr>
            <w:tcW w:type="dxa" w:w="1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F1 macro (faixas)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Teste, 5 casos (5.523 janelas)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Figshare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CNN ativa (float32)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7,03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0,784</w:t>
            </w:r>
          </w:p>
        </w:tc>
        <w:tc>
          <w:tcPr>
            <w:tcW w:type="dxa" w:w="1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0,548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Mesmo teste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Figshare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Baseline espectral + Random Forest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8,86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0,667</w:t>
            </w:r>
          </w:p>
        </w:tc>
        <w:tc>
          <w:tcPr>
            <w:tcW w:type="dxa" w:w="1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não reportado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Avaliação cruzada, 15 casos (38.730 janelas), sem retreino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VitalDB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CNN ativa (float32)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12,43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0,024</w:t>
            </w:r>
          </w:p>
        </w:tc>
        <w:tc>
          <w:tcPr>
            <w:tcW w:type="dxa" w:w="1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0,398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Holdout Figshare fixo (candidato misto, não promovido)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Figshare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CNN mista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6,69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0,818</w:t>
            </w:r>
          </w:p>
        </w:tc>
        <w:tc>
          <w:tcPr>
            <w:tcW w:type="dxa" w:w="1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não reportado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Holdout histórico VitalDB (candidato misto)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VitalDB</w:t>
            </w:r>
          </w:p>
        </w:tc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CNN mista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8,60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0,688</w:t>
            </w:r>
          </w:p>
        </w:tc>
        <w:tc>
          <w:tcPr>
            <w:tcW w:type="dxa" w:w="10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não reportado</w:t>
            </w:r>
          </w:p>
        </w:tc>
      </w:tr>
    </w:tbl>
    <w:p>
      <w:pPr>
        <w:spacing w:after="120"/>
      </w:pPr>
    </w:p>
    <w:p>
      <w:pPr>
        <w:spacing w:after="140" w:before="0" w:line="300"/>
        <w:jc w:val="left"/>
      </w:pPr>
      <w:r>
        <w:t xml:space="preserve">O resultado negativo central é a perda de associação no VitalDB: com a CNN ativa, a correlação cai a 0,024. O candidato misto melhora esse número, mas o próprio repositório indica que a melhora sugere adaptação ao domínio observado, e não transporte comprovado para outra fonte. Por isso a generalização é a RQ3 deste mestrado, e não um detalhe de discussão.</w:t>
      </w:r>
    </w:p>
    <w:p>
      <w:pPr>
        <w:pStyle w:val="Heading2"/>
        <w:keepNext/>
      </w:pPr>
      <w:r>
        <w:t xml:space="preserve">9.3 O que o ponto de partida sugere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 modelo tem folga de compressão: com 147 KB em INT8 e uma ativação máxima de 20 KB, a hipótese de caber em SRAM é plausível e precisa ser medida.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 carga computacional é moderada: cerca de 17,85 M MAC por emissão, uma vez por segundo. O desafio de tempo real é de constante de processamento, não de complexidade.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 maior risco não é a memória, e sim a generalização e a fidelidade. Por isso o protocolo dedica um eixo próprio a cada um deles.</w:t>
      </w:r>
    </w:p>
    <w:p>
      <w:pPr>
        <w:pStyle w:val="Heading1"/>
        <w:keepNext/>
      </w:pPr>
      <w:r>
        <w:t xml:space="preserve">10 Metodologia</w:t>
      </w:r>
    </w:p>
    <w:p>
      <w:pPr>
        <w:pStyle w:val="Heading2"/>
        <w:keepNext/>
      </w:pPr>
      <w:r>
        <w:t xml:space="preserve">10.1 Visão geral das etapas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371"/>
      </w:tblGrid>
      <w:tr>
        <w:trPr>
          <w:tblHeader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Atividade</w:t>
            </w:r>
          </w:p>
        </w:tc>
        <w:tc>
          <w:tcPr>
            <w:tcW w:type="dxa" w:w="23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E1 · Linha de base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Reproduzir o checkpoint M0, congelar divisões e hashes, reexecutar métricas e medidas no computador</w:t>
            </w:r>
          </w:p>
        </w:tc>
        <w:tc>
          <w:tcPr>
            <w:tcW w:type="dxa" w:w="23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Relatório de linha de base e protocolo v1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E2 · Compressão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Gerar M1 (PTQ INT8), M2 (QAT), M3 (arquitetura reduzida por destilação) e M4 (combinação)</w:t>
            </w:r>
          </w:p>
        </w:tc>
        <w:tc>
          <w:tcPr>
            <w:tcW w:type="dxa" w:w="23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Tabela de desempenho × tamanho × operações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E3 · Firmware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Implementar pré-processamento causal e inferência em ESP32-S3 e ESP32; verificar fidelidade (H2)</w:t>
            </w:r>
          </w:p>
        </w:tc>
        <w:tc>
          <w:tcPr>
            <w:tcW w:type="dxa" w:w="23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Firmware v1 e relatório de fidelidade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E4 · Sistema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Medir latência, memória, energia e robustez (H3 e H4)</w:t>
            </w:r>
          </w:p>
        </w:tc>
        <w:tc>
          <w:tcPr>
            <w:tcW w:type="dxa" w:w="23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Relatório de desempenho de sistema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E5 · Generalização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Avaliar a queda entre bases com o protocolo congelado (H5)</w:t>
            </w:r>
          </w:p>
        </w:tc>
        <w:tc>
          <w:tcPr>
            <w:tcW w:type="dxa" w:w="23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Análise por caso e por base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E6 · Escrita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Dissertação, artigos, model card e defesa</w:t>
            </w:r>
          </w:p>
        </w:tc>
        <w:tc>
          <w:tcPr>
            <w:tcW w:type="dxa" w:w="23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Documentos finais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10.2 Dados, divisões e protocolo de avaliação</w:t>
      </w:r>
    </w:p>
    <w:p>
      <w:pPr>
        <w:spacing w:after="140" w:before="0" w:line="300"/>
        <w:jc w:val="left"/>
      </w:pPr>
      <w:r>
        <w:t xml:space="preserve">Os dados são os mesmos do TCC: o corpus Figshare (EEG e BIS, CC BY 4.0) e o subconjunto selecionado do VitalDB, com agrupamento por </w:t>
      </w:r>
      <w:r>
        <w:rPr>
          <w:rFonts w:ascii="Courier New" w:cs="Courier New" w:eastAsia="Courier New" w:hAnsi="Courier New"/>
        </w:rPr>
        <w:t xml:space="preserve">subjectid</w:t>
      </w:r>
      <w:r>
        <w:t xml:space="preserve"> quando disponível. As divisões são por caso, para que janelas vizinhas de um mesmo paciente não apareçam em conjuntos diferentes (MA, 2017; LEE et al., 2022).</w:t>
      </w:r>
    </w:p>
    <w:p>
      <w:pPr>
        <w:spacing w:after="140" w:before="0" w:line="300"/>
        <w:jc w:val="left"/>
      </w:pPr>
      <w:r>
        <w:rPr>
          <w:b/>
          <w:bCs/>
        </w:rPr>
        <w:t xml:space="preserve">Ponto de atenção.</w:t>
      </w:r>
      <w:r>
        <w:t xml:space="preserve"> O holdout de 5 casos já foi usado na análise do TCC, e o material histórico registra reuso após exposição ao domínio VitalDB. Para o mestrado, o protocolo é outro: (i) o desenvolvimento usa validação cruzada por caso entre os casos de desenvolvimento; (ii) a configuração final é congelada antes de abrir o conjunto de teste; (iii) o teste é reportado uma única vez por candidato; (iv) hashes de dados, código e modelo são registrados em cada rodada.</w:t>
      </w:r>
    </w:p>
    <w:p>
      <w:pPr>
        <w:spacing w:after="140" w:before="0" w:line="300"/>
        <w:jc w:val="left"/>
      </w:pPr>
      <w:r>
        <w:t xml:space="preserve">As métricas são as do TCC, para comparabilidade: MAE, RMSE, viés e correlação de Pearson do valor contínuo, além de acurácia e macro-F1 das quatro faixas (</w:t>
      </w:r>
      <w:r>
        <w:rPr>
          <w:rFonts w:ascii="Courier New" w:cs="Courier New" w:eastAsia="Courier New" w:hAnsi="Courier New"/>
        </w:rPr>
        <w:t xml:space="preserve">deep</w:t>
      </w:r>
      <w:r>
        <w:t xml:space="preserve">, </w:t>
      </w:r>
      <w:r>
        <w:rPr>
          <w:rFonts w:ascii="Courier New" w:cs="Courier New" w:eastAsia="Courier New" w:hAnsi="Courier New"/>
        </w:rPr>
        <w:t xml:space="preserve">general</w:t>
      </w:r>
      <w:r>
        <w:t xml:space="preserve">, </w:t>
      </w:r>
      <w:r>
        <w:rPr>
          <w:rFonts w:ascii="Courier New" w:cs="Courier New" w:eastAsia="Courier New" w:hAnsi="Courier New"/>
        </w:rPr>
        <w:t xml:space="preserve">light</w:t>
      </w:r>
      <w:r>
        <w:t xml:space="preserve">, </w:t>
      </w:r>
      <w:r>
        <w:rPr>
          <w:rFonts w:ascii="Courier New" w:cs="Courier New" w:eastAsia="Courier New" w:hAnsi="Courier New"/>
        </w:rPr>
        <w:t xml:space="preserve">awake</w:t>
      </w:r>
      <w:r>
        <w:t xml:space="preserve">). Para comparar candidatos, as diferenças são calculadas por caso e reamostradas em bootstrap por caso (B = 1.000, semente 42), o que respeita a dependência dentro de cada cirurgia (FIELD; WELSH, 2007). Quando houver várias comparações, aplica-se correção de Holm.</w:t>
      </w:r>
    </w:p>
    <w:p>
      <w:pPr>
        <w:pStyle w:val="Heading2"/>
        <w:keepNext/>
      </w:pPr>
      <w:r>
        <w:t xml:space="preserve">10.3 Candidatos de modelo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000"/>
        <w:gridCol w:w="1571"/>
      </w:tblGrid>
      <w:tr>
        <w:trPr>
          <w:tblHeader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Pergunta que responde</w:t>
            </w:r>
          </w:p>
        </w:tc>
        <w:tc>
          <w:tcPr>
            <w:tcW w:type="dxa" w:w="15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Tamanho esperado de pesos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M0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CNN float32 do checkpoint ativo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Referência para todas as comparações</w:t>
            </w:r>
          </w:p>
        </w:tc>
        <w:tc>
          <w:tcPr>
            <w:tcW w:type="dxa" w:w="15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≈ 587 KB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M1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M0 quantizado para INT8 por PTQ, com calibração nos casos de desenvolvimento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Quanto a quantização custa sem retreino</w:t>
            </w:r>
          </w:p>
        </w:tc>
        <w:tc>
          <w:tcPr>
            <w:tcW w:type="dxa" w:w="15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≈ 147 KB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M2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M0 treinado com QAT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Quanto do custo da quantização se recupera com retreino</w:t>
            </w:r>
          </w:p>
        </w:tc>
        <w:tc>
          <w:tcPr>
            <w:tcW w:type="dxa" w:w="15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≈ 147 KB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M3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Arquitetura com canais 16 → 32 → 64 → 64, treinada por destilação a partir de M0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Quanto a redução de arquitetura custa; cerca de 4× menos MAC (≈ 4,5 M)</w:t>
            </w:r>
          </w:p>
        </w:tc>
        <w:tc>
          <w:tcPr>
            <w:tcW w:type="dxa" w:w="15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≈ 37 KB (estimativa)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M4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M3 com QAT, e ativação compatível com inteiros, se os resultados indicarem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Candidato final de implantação</w:t>
            </w:r>
          </w:p>
        </w:tc>
        <w:tc>
          <w:tcPr>
            <w:tcW w:type="dxa" w:w="15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≈ 37 KB (estimativa)</w:t>
            </w:r>
          </w:p>
        </w:tc>
      </w:tr>
    </w:tbl>
    <w:p>
      <w:pPr>
        <w:spacing w:after="120"/>
      </w:pPr>
    </w:p>
    <w:p>
      <w:pPr>
        <w:spacing w:after="140" w:before="0" w:line="300"/>
        <w:jc w:val="left"/>
      </w:pPr>
      <w:r>
        <w:t xml:space="preserve">A arquitetura </w:t>
      </w:r>
      <w:r>
        <w:rPr>
          <w:rFonts w:ascii="Courier New" w:cs="Courier New" w:eastAsia="Courier New" w:hAnsi="Courier New"/>
        </w:rPr>
        <w:t xml:space="preserve">RobustConv1DDepthEstimator</w:t>
      </w:r>
      <w:r>
        <w:t xml:space="preserve">, já presente no código, usa GroupNorm e blocos residuais. Ela não entra como candidato de implantação porque sua normalização não pode ser incorporada aos pesos, o que aumenta o custo de execução no microcontrolador. A GELU também pode exigir aproximação por tabela em INT8; por isso M4 admite troca de ativação se a medição justificar.</w:t>
      </w:r>
    </w:p>
    <w:p>
      <w:pPr>
        <w:pStyle w:val="Heading2"/>
        <w:keepNext/>
      </w:pPr>
      <w:r>
        <w:t xml:space="preserve">10.4 Pré-processamento embarcado</w:t>
      </w:r>
    </w:p>
    <w:p>
      <w:pPr>
        <w:spacing w:after="140" w:before="0" w:line="300"/>
        <w:jc w:val="left"/>
      </w:pPr>
      <w:r>
        <w:t xml:space="preserve">Os filtros causais (passa-banda Butterworth de 4ª ordem e notch de 50 Hz) são executados em float32 no microcontrolador, que possui unidade de ponto flutuante de precisão simples. A saída é comparada com a do filtro de referência no computador, com tolerância definida antes do teste. Se a tolerância não for atingida, a alternativa é aritmética em ponto fixo, avaliada como variante. Gates de qualidade e a regra de abstenção são implementados com os mesmos limiares do pipeline. Se o front-end usar taxa diferente de 128 Hz, a reamostragem entra no firmware e é contabilizada no orçamento de tempo.</w:t>
      </w:r>
    </w:p>
    <w:p>
      <w:pPr>
        <w:pStyle w:val="Heading2"/>
        <w:keepNext/>
      </w:pPr>
      <w:r>
        <w:t xml:space="preserve">10.5 Plataformas e toolchain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Plataforma principal:</w:t>
      </w:r>
      <w:r>
        <w:t xml:space="preserve"> ESP32-S3, com instruções vetoriais exploradas pelo ESP-NN e SRAM interna de 512 KB, com PSRAM opcional conforme o módulo (ESPRESSIF SYSTEMS, s.d.b; s.d.c).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Comparador:</w:t>
      </w:r>
      <w:r>
        <w:t xml:space="preserve"> ESP32 clássico, com SRAM de 520 KB e sem as instruções vetoriais do S3. Mede o efeito do hardware na latência (H3).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Comparador opcional:</w:t>
      </w:r>
      <w:r>
        <w:t xml:space="preserve"> um microcontrolador ARM Cortex-M com CMSIS-NN, se o cronograma permitir.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Caminho A:</w:t>
      </w:r>
      <w:r>
        <w:t xml:space="preserve"> PyTorch → ONNX → ferramentas de quantização e formato </w:t>
      </w:r>
      <w:r>
        <w:rPr>
          <w:rFonts w:ascii="Courier New" w:cs="Courier New" w:eastAsia="Courier New" w:hAnsi="Courier New"/>
        </w:rPr>
        <w:t xml:space="preserve">.espdl</w:t>
      </w:r>
      <w:r>
        <w:t xml:space="preserve"> do ESP-DL (ESPRESSIF SYSTEMS, s.d.d).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Caminho B:</w:t>
      </w:r>
      <w:r>
        <w:t xml:space="preserve"> PyTorch → TensorFlow Lite INT8 → TensorFlow Lite Micro com kernels ESP-NN (DAVID et al., 2021).</w:t>
      </w:r>
    </w:p>
    <w:p>
      <w:pPr>
        <w:spacing w:after="140" w:before="0" w:line="300"/>
        <w:jc w:val="left"/>
      </w:pPr>
      <w:r>
        <w:t xml:space="preserve">A escolha entre os caminhos ocorre na Fase 1, com critérios fixados antes do teste: suporte a todas as operações do M4, fidelidade (H2), pico de memória (H4), latência (H3) e custo de manutenção. As versões das bibliotecas são fixadas em lockfile e registradas, como o repositório já faz com </w:t>
      </w:r>
      <w:r>
        <w:rPr>
          <w:rFonts w:ascii="Courier New" w:cs="Courier New" w:eastAsia="Courier New" w:hAnsi="Courier New"/>
        </w:rPr>
        <w:t xml:space="preserve">uv.lock</w:t>
      </w:r>
      <w:r>
        <w:t xml:space="preserve">.</w:t>
      </w:r>
    </w:p>
    <w:p>
      <w:pPr>
        <w:pStyle w:val="Heading2"/>
        <w:keepNext/>
      </w:pPr>
      <w:r>
        <w:t xml:space="preserve">10.6 Verificação de fidelidade</w:t>
      </w:r>
    </w:p>
    <w:p>
      <w:pPr>
        <w:spacing w:after="140" w:before="0" w:line="300"/>
        <w:jc w:val="left"/>
      </w:pPr>
      <w:r>
        <w:t xml:space="preserve">Um conjunto fixo de janelas de referência é processado no computador (simulação INT8) e no microcontrolador. As saídas são comparadas em três níveis: valor contínuo (diferença absoluta média e máxima), faixa (concordância por janela) e sequência temporal (correlação entre as saídas). O conjunto inclui janelas de borda, com qualidade próxima ao limiar, e janelas com lacunas, para testar os gates. Esta etapa testa H2 e é independente do desempenho clínico-técnico.</w:t>
      </w:r>
    </w:p>
    <w:p>
      <w:pPr>
        <w:pStyle w:val="Heading2"/>
        <w:keepNext/>
      </w:pPr>
      <w:r>
        <w:t xml:space="preserve">10.7 Medições de sistema e robustez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Latência:</w:t>
      </w:r>
      <w:r>
        <w:t xml:space="preserve"> tempo de inferência por janela e tempo do pipeline completo por emissão, com p50, p95 e máximo sobre pelo menos 1.000 execuções, usando o timer de alta resolução do firmware (H3).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Memória:</w:t>
      </w:r>
      <w:r>
        <w:t xml:space="preserve"> tamanho de flash (firmware e pesos) e pico de RAM da inferência e dos buffers, medido pelos relatórios de tamanho e de heap do ESP-IDF (H4).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Energia:</w:t>
      </w:r>
      <w:r>
        <w:t xml:space="preserve"> corrente média em 3,3 V com medidor de baixa corrente, energia por inferência e tempo em estado ativo e em espera. Wi-Fi e Bluetooth desligados durante a medição.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Robustez:</w:t>
      </w:r>
      <w:r>
        <w:t xml:space="preserve"> ruído gaussiano em diferentes amplitudes, deriva de linha de base, saturação, lacunas e perda de amostras, e variação da taxa de amostragem. Cada condição é reportada com a degradação em relação ao M0.</w:t>
      </w:r>
    </w:p>
    <w:p>
      <w:pPr>
        <w:pStyle w:val="Heading2"/>
        <w:keepNext/>
      </w:pPr>
      <w:r>
        <w:t xml:space="preserve">10.8 Análise estatística</w:t>
      </w:r>
    </w:p>
    <w:p>
      <w:pPr>
        <w:spacing w:after="140" w:before="0" w:line="300"/>
        <w:jc w:val="left"/>
      </w:pPr>
      <w:r>
        <w:t xml:space="preserve">As comparações entre candidatos são pareadas por caso, com intervalos de confiança bootstrap por caso e correção de Holm para múltiplas comparações. H1 é avaliada como teste de não inferioridade com as margens da seção 6. Com cinco casos de teste, os intervalos são largos, como já mostram os números do TCC; o tamanho amostral para validação externa de modelos com desfecho contínuo é um problema conhecido (ARCHER et al., 2021). Por isso o protocolo prevê avaliação com mais casos, na medida em que a licença do VitalDB permitir.</w:t>
      </w:r>
    </w:p>
    <w:p>
      <w:pPr>
        <w:pStyle w:val="Heading2"/>
        <w:keepNext/>
      </w:pPr>
      <w:r>
        <w:t xml:space="preserve">10.9 Fases de bancada e limite de escopo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Fase A (replay):</w:t>
      </w:r>
      <w:r>
        <w:t xml:space="preserve"> gravações existentes são enviadas ao microcontrolador por serial ou cartão SD. Não há coleta de dados de pessoas.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Fase B (front-end em bancada):</w:t>
      </w:r>
      <w:r>
        <w:t xml:space="preserve"> um conversor analógico-digital de EEG, por exemplo baseado no ADS1299 (TEXAS INSTRUMENTS, s.d.), é testado com gerador de sinais e simulador de EEG. Mede ruído e integridade da aquisição. Não há coleta com pessoas.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Fase C (opcional, condicionada a aprovação ética):</w:t>
      </w:r>
      <w:r>
        <w:t xml:space="preserve"> gravação de EEG em voluntários para medir ruído do front-end e artefatos de movimento. Essa fase </w:t>
      </w:r>
      <w:r>
        <w:rPr>
          <w:b/>
          <w:bCs/>
        </w:rPr>
        <w:t xml:space="preserve">não valida o BIS</w:t>
      </w:r>
      <w:r>
        <w:t xml:space="preserve">, pois a validação exigiria um monitor BIS concomitante e protocolo clínico, que estão fora do escopo.</w:t>
      </w:r>
    </w:p>
    <w:p>
      <w:pPr>
        <w:pStyle w:val="Heading1"/>
        <w:keepNext/>
      </w:pPr>
      <w:r>
        <w:t xml:space="preserve">11 Cronograma</w:t>
      </w:r>
    </w:p>
    <w:p>
      <w:pPr>
        <w:spacing w:after="140" w:before="0" w:line="300"/>
        <w:jc w:val="left"/>
      </w:pPr>
      <w:r>
        <w:t xml:space="preserve">O cronograma assume 24 meses, duração típica de mestrado, e deve ser ajustado ao regulamento do programa. As fases se sobrepõem parcialmente.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3400"/>
        <w:gridCol w:w="1971"/>
      </w:tblGrid>
      <w:tr>
        <w:trPr>
          <w:tblHeader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Meses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Atividades principais</w:t>
            </w:r>
          </w:p>
        </w:tc>
        <w:tc>
          <w:tcPr>
            <w:tcW w:type="dxa" w:w="19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Entregável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 · Fundamentação e linha de base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M1–M3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Revisão ampliada; reprodução do M0; protocolo v1 com margens e critérios; escolha do caminho de toolchain</w:t>
            </w:r>
          </w:p>
        </w:tc>
        <w:tc>
          <w:tcPr>
            <w:tcW w:type="dxa" w:w="19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Protocolo v1 congelado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2 · Compressão no computador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M4–M8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PTQ, QAT, destilação de M3; M4; benchmark no computador</w:t>
            </w:r>
          </w:p>
        </w:tc>
        <w:tc>
          <w:tcPr>
            <w:tcW w:type="dxa" w:w="19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Tabela M0–M4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3 · Firmware e fidelidade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M7–M12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Pré-processamento embarcado; inferência no S3 e no ESP32; testes de fidelidade (H2)</w:t>
            </w:r>
          </w:p>
        </w:tc>
        <w:tc>
          <w:tcPr>
            <w:tcW w:type="dxa" w:w="19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Firmware v1; relatório de fidelidade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Exame de qualificação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≈ M12–M13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Conforme o regulamento do programa</w:t>
            </w:r>
          </w:p>
        </w:tc>
        <w:tc>
          <w:tcPr>
            <w:tcW w:type="dxa" w:w="19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Banca de qualificação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4 · Sistema e robustez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M13–M17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Latência, memória, energia e robustez (H3, H4); Fase B em bancada</w:t>
            </w:r>
          </w:p>
        </w:tc>
        <w:tc>
          <w:tcPr>
            <w:tcW w:type="dxa" w:w="19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Relatório de desempenho de sistema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5 · Generalização e análise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M17–M20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Avaliação entre bases (H5); análise por caso; ablações</w:t>
            </w:r>
          </w:p>
        </w:tc>
        <w:tc>
          <w:tcPr>
            <w:tcW w:type="dxa" w:w="19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Resultados consolidados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Fase C (opcional)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M14–M20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Somente com aprovação do CEP; não substitui a validação do BIS</w:t>
            </w:r>
          </w:p>
        </w:tc>
        <w:tc>
          <w:tcPr>
            <w:tcW w:type="dxa" w:w="19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Relatório de ruído do front-end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6 · Escrita e defesa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M19–M24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Dissertação, artigo para congresso, model card, defesa</w:t>
            </w:r>
          </w:p>
        </w:tc>
        <w:tc>
          <w:tcPr>
            <w:tcW w:type="dxa" w:w="19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Dissertação e defesa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12 Resultados esperados e produtos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Dissertação</w:t>
      </w:r>
      <w:r>
        <w:t xml:space="preserve">, com o protocolo, as medições e a análise das três questões de pesquisa.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Tabela de compressão</w:t>
      </w:r>
      <w:r>
        <w:t xml:space="preserve"> (M0 a M4) relacionando desempenho, pesos, operações, latência, memória e energia, para cada plataforma. Esse é o principal resultado de engenharia.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Firmware aberto</w:t>
      </w:r>
      <w:r>
        <w:t xml:space="preserve"> para ESP32-S3 e ESP32, com pré-processamento causal, inferência INT8, gates de qualidade e teste de fidelidade.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Artigos:</w:t>
      </w:r>
      <w:r>
        <w:t xml:space="preserve"> pelo menos um em congresso da área de engenharia biomédica, como o CBEB ou o IEEE EMBC, e, se os resultados permitirem, um em periódico. A escolha de veículos é feita com o orientador.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Model card atualizado</w:t>
      </w:r>
      <w:r>
        <w:t xml:space="preserve"> e checklist de boas práticas em aprendizado de máquina para dispositivos médicos, com os limites de uso explícitos.</w:t>
      </w:r>
    </w:p>
    <w:p>
      <w:pPr>
        <w:pStyle w:val="Heading1"/>
        <w:keepNext/>
      </w:pPr>
      <w:r>
        <w:t xml:space="preserve">13 Riscos e mitigação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700"/>
        <w:gridCol w:w="4271"/>
      </w:tblGrid>
      <w:tr>
        <w:trPr>
          <w:tblHeader/>
        </w:trPr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Probabilidade / impacto</w:t>
            </w:r>
          </w:p>
        </w:tc>
        <w:tc>
          <w:tcPr>
            <w:tcW w:type="dxa" w:w="42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 quantização PTQ degrada demais o modelo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Média / alto</w:t>
            </w:r>
          </w:p>
        </w:tc>
        <w:tc>
          <w:tcPr>
            <w:tcW w:type="dxa" w:w="42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QAT (M2); calibração e quantização por canal; comparação por camada para localizar a perda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Latência acima do limite no ESP32-S3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Média / alto</w:t>
            </w:r>
          </w:p>
        </w:tc>
        <w:tc>
          <w:tcPr>
            <w:tcW w:type="dxa" w:w="42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ESP-NN; paralelismo entre núcleos; redução de canais (M3); medição cedo, na Fase 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Memória insuficiente no ESP32 clássico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Média / médio</w:t>
            </w:r>
          </w:p>
        </w:tc>
        <w:tc>
          <w:tcPr>
            <w:tcW w:type="dxa" w:w="42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M3; uso de PSRAM quando o módulo permitir; o ESP32 é comparador, não critério de sucesso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Divergência entre filtros do computador e do firmware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Alta / médio</w:t>
            </w:r>
          </w:p>
        </w:tc>
        <w:tc>
          <w:tcPr>
            <w:tcW w:type="dxa" w:w="42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Filtros em float32; vetores de teste; tolerância definida antes; teste unitário dos filtros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Generalização baixa entre bases (VitalDB, r = 0,024)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Alta / alto</w:t>
            </w:r>
          </w:p>
        </w:tc>
        <w:tc>
          <w:tcPr>
            <w:tcW w:type="dxa" w:w="42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Tratada como RQ3; avaliação com protocolo congelado; relato honesto mesmo se o resultado for negativo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Restrições de licença do VitalDB (CC BY-NC-SA)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Baixa / alto</w:t>
            </w:r>
          </w:p>
        </w:tc>
        <w:tc>
          <w:tcPr>
            <w:tcW w:type="dxa" w:w="42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Uso acadêmico não comercial; dados não redistribuídos; confirmação com o CEP e com a instituição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Atraso na aprovação ética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Média / médio</w:t>
            </w:r>
          </w:p>
        </w:tc>
        <w:tc>
          <w:tcPr>
            <w:tcW w:type="dxa" w:w="42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Fases A e B não envolvem pessoas; Fase C é opcional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Mudança de versões de IDF, ESP-NN ou ESP-DL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Média / médio</w:t>
            </w:r>
          </w:p>
        </w:tc>
        <w:tc>
          <w:tcPr>
            <w:tcW w:type="dxa" w:w="42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Versões fixadas e registradas; ambiente reprodutível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Escopo excessivo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Alta / médio</w:t>
            </w:r>
          </w:p>
        </w:tc>
        <w:tc>
          <w:tcPr>
            <w:tcW w:type="dxa" w:w="42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Priorização em obrigatório, desejável e opcional, revista a cada fase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Interpretação clínica indevida do protótipo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Média / alto</w:t>
            </w:r>
          </w:p>
        </w:tc>
        <w:tc>
          <w:tcPr>
            <w:tcW w:type="dxa" w:w="42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Avisos no firmware e na documentação; model card com limites; licença e linguagem de pesquisa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14 Ética, regulação e licenças</w:t>
      </w:r>
    </w:p>
    <w:p>
      <w:pPr>
        <w:spacing w:after="140" w:before="0" w:line="300"/>
        <w:jc w:val="left"/>
      </w:pPr>
      <w:r>
        <w:rPr>
          <w:b/>
          <w:bCs/>
        </w:rPr>
        <w:t xml:space="preserve">Natureza do projeto.</w:t>
      </w:r>
      <w:r>
        <w:t xml:space="preserve"> Trata-se de pesquisa de engenharia. O protótipo não é dispositivo médico, não deve orientar conduta clínica e não controla infusão de fármacos. Um eventual uso clínico exigiria enquadramento regulatório junto à ANVISA, análise de risco (ISO, 2019), desenvolvimento conforme a IEC 62304 (IEC, 2015), segurança elétrica conforme a IEC 60601-1 (IEC, s.d.) e estudo prospectivo.</w:t>
      </w:r>
    </w:p>
    <w:p>
      <w:pPr>
        <w:spacing w:after="140" w:before="0" w:line="300"/>
        <w:jc w:val="left"/>
      </w:pPr>
      <w:r>
        <w:rPr>
          <w:b/>
          <w:bCs/>
        </w:rPr>
        <w:t xml:space="preserve">Dados públicos.</w:t>
      </w:r>
      <w:r>
        <w:t xml:space="preserve"> O corpus Figshare é publicado sob CC BY 4.0 (MA, 2017), e o VitalDB sob CC BY-NC-SA 4.0, com termos de uso que restringem o uso comercial (LEE et al., 2022; VITALDB, 2026). O projeto usa os dados apenas para pesquisa acadêmica, não redistribui os arquivos e cita as fontes. Como o uso de bases públicas desidentificadas pode ou não exigir análise do CEP, a questão será submetida à instituição antes da Fase C.</w:t>
      </w:r>
    </w:p>
    <w:p>
      <w:pPr>
        <w:spacing w:after="140" w:before="0" w:line="300"/>
        <w:jc w:val="left"/>
      </w:pPr>
      <w:r>
        <w:rPr>
          <w:b/>
          <w:bCs/>
        </w:rPr>
        <w:t xml:space="preserve">Dados de pessoas (Fase C).</w:t>
      </w:r>
      <w:r>
        <w:t xml:space="preserve"> Requer parecer do Comitê de Ética em Pesquisa, conforme a Resolução CNS nº 466/2012 (BRASIL, 2012), termo de consentimento livre e esclarecido e armazenamento seguro. Dados de saúde são sensíveis pela LGPD (BRASIL, 2018).</w:t>
      </w:r>
    </w:p>
    <w:p>
      <w:pPr>
        <w:spacing w:after="140" w:before="0" w:line="300"/>
        <w:jc w:val="left"/>
      </w:pPr>
      <w:r>
        <w:rPr>
          <w:b/>
          <w:bCs/>
        </w:rPr>
        <w:t xml:space="preserve">Boas práticas.</w:t>
      </w:r>
      <w:r>
        <w:t xml:space="preserve"> A documentação segue os princípios da FDA, Health Canada e MHRA (2021), com dados de teste separados do desenvolvimento, relato no formato TRIPOD+AI (COLLINS et al., 2024) e model card com uso pretendido e não pretendido.</w:t>
      </w:r>
    </w:p>
    <w:p>
      <w:pPr>
        <w:pStyle w:val="Heading1"/>
        <w:keepNext/>
      </w:pPr>
      <w:r>
        <w:t xml:space="preserve">15 Infraestrutura e orçamento</w:t>
      </w:r>
    </w:p>
    <w:p>
      <w:pPr>
        <w:spacing w:after="140" w:before="0" w:line="300"/>
        <w:jc w:val="left"/>
      </w:pPr>
      <w:r>
        <w:t xml:space="preserve">Os valores de mercado ainda não foram levantados. A coluna de custo deve ser preenchida com cotações antes da submissão ao programa.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3171"/>
        <w:gridCol w:w="1700"/>
      </w:tblGrid>
      <w:tr>
        <w:trPr>
          <w:tblHeader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Quantidade</w:t>
            </w:r>
          </w:p>
        </w:tc>
        <w:tc>
          <w:tcPr>
            <w:tcW w:type="dxa" w:w="31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Finalidade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Custo estimado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Placa ESP32-S3 (DevKit)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2 a 3</w:t>
            </w:r>
          </w:p>
        </w:tc>
        <w:tc>
          <w:tcPr>
            <w:tcW w:type="dxa" w:w="31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Plataforma principal; testes de fidelidade e latência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 levantar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Placa ESP32 clássico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 a 2</w:t>
            </w:r>
          </w:p>
        </w:tc>
        <w:tc>
          <w:tcPr>
            <w:tcW w:type="dxa" w:w="31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Comparador de hardware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 levantar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Placa de aquisição de EEG (baseada em ADS1299)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1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Fase B: integridade e ruído do front-end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 levantar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Medidor de corrente de baixa faixa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1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Energia por inferência (Seção 10.7)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 levantar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Gerador de sinais e simulador de EEG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1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Bancada e testes de robustez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 levantar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Computador de desenvolvimento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1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Treino, quantização e análise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verificar equipamento disponível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Eletrodos e cabos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lote</w:t>
            </w:r>
          </w:p>
        </w:tc>
        <w:tc>
          <w:tcPr>
            <w:tcW w:type="dxa" w:w="31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Somente Fase C, se aprovada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 levantar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Publicações e participação em eventos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1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Artigos e apresentações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 levantar com o programa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16 Limitações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 índice BIS é um índice processado de monitor, não uma verdade clínica universal. Atrasos, artefatos, EMG e fármacos alteram sua interpretação (model card do projeto).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 teste tem poucos casos, e os intervalos de confiança são amplos. Os resultados são de prova de conceito.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Os dados são retrospectivos. Não há atraso real de um monitor, nem a dinâmica completa de um equipamento em operação.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 estimativa usa um único canal frontal, com a montagem e o ganho das bases de origem. Outras montagens exigem validação própria.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Os resultados de compressão valem para a plataforma, o toolchain e as versões de biblioteca escolhidos, e devem ser revalidados em outra configuração.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Não há validação prospectiva nem clínica. A Fase C não substitui essa validação.</w:t>
      </w:r>
    </w:p>
    <w:p>
      <w:pPr>
        <w:pStyle w:val="Heading1"/>
        <w:keepNext/>
      </w:pPr>
      <w:r>
        <w:t xml:space="preserve">17 Referências</w:t>
      </w:r>
    </w:p>
    <w:p>
      <w:pPr>
        <w:spacing w:after="140" w:before="0" w:line="300"/>
        <w:jc w:val="left"/>
      </w:pPr>
      <w:r>
        <w:rPr>
          <w:color w:val="6B7280"/>
          <w:sz w:val="19"/>
          <w:szCs w:val="19"/>
        </w:rPr>
        <w:t xml:space="preserve">Lista ordenada pelo primeiro autor. As entradas marcadas como pendentes de conferência estão identificadas também no arquivo </w:t>
      </w: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mestrado/referencias/referencias.bib</w:t>
      </w:r>
      <w:r>
        <w:rPr>
          <w:color w:val="6B7280"/>
          <w:sz w:val="19"/>
          <w:szCs w:val="19"/>
        </w:rPr>
        <w:t xml:space="preserve">, no campo </w:t>
      </w: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note</w:t>
      </w:r>
      <w:r>
        <w:rPr>
          <w:color w:val="6B7280"/>
          <w:sz w:val="19"/>
          <w:szCs w:val="19"/>
        </w:rPr>
        <w:t xml:space="preserve">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ARCHER, Lucinda et al.. Minimum sample size for external validation of a clinical prediction model with a continuous outcome. </w:t>
      </w:r>
      <w:r>
        <w:rPr>
          <w:b/>
          <w:bCs/>
          <w:sz w:val="20"/>
          <w:szCs w:val="20"/>
        </w:rPr>
        <w:t xml:space="preserve">Statistics in Medicine</w:t>
      </w:r>
      <w:r>
        <w:rPr>
          <w:sz w:val="20"/>
          <w:szCs w:val="20"/>
        </w:rPr>
        <w:t xml:space="preserve">, v. 40, n. 1, p. 133-146, 2021. DOI: 10.1002/sim.8766.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AVIDAN, Michael S. et al.. Prevention of intraoperative awareness in a high-risk surgical population. </w:t>
      </w:r>
      <w:r>
        <w:rPr>
          <w:b/>
          <w:bCs/>
          <w:sz w:val="20"/>
          <w:szCs w:val="20"/>
        </w:rPr>
        <w:t xml:space="preserve">New England Journal of Medicine</w:t>
      </w:r>
      <w:r>
        <w:rPr>
          <w:sz w:val="20"/>
          <w:szCs w:val="20"/>
        </w:rPr>
        <w:t xml:space="preserve">, v. 365, p. 591-600, 2011. DOI: 10.1056/NEJMoa1100403.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BANBURY, Colby R. et al.. MLPerf Tiny benchmark. </w:t>
      </w:r>
      <w:r>
        <w:rPr>
          <w:b/>
          <w:bCs/>
          <w:sz w:val="20"/>
          <w:szCs w:val="20"/>
        </w:rPr>
        <w:t xml:space="preserve">Proceedings of the NeurIPS Datasets and Benchmarks Track</w:t>
      </w:r>
      <w:r>
        <w:rPr>
          <w:sz w:val="20"/>
          <w:szCs w:val="20"/>
        </w:rPr>
        <w:t xml:space="preserve">, 2021. Disponível em: https://arxiv.org/abs/2106.07597.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BANBURY, Colby R. et al.. Benchmarking TinyML systems: challenges and direction. arXiv, 2020. Disponível em: https://arxiv.org/abs/2003.04821.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BRASIL. Lei no 13.709, de 14 de agosto de 2018: Lei Geral de Protecao de Dados Pessoais (LGPD). Diario Oficial da Uniao, 2018.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BRASIL. Conselho Nacional de Saude. Resolucao no 466, de 12 de dezembro de 2012: diretrizes e normas regulamentadoras de pesquisa envolvendo seres humanos. Conselho Nacional de Saude, 2012.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COLLINS, Gary S. et al.. TRIPOD+AI statement: updated guidance for reporting clinical prediction models that use regression or machine learning methods. </w:t>
      </w:r>
      <w:r>
        <w:rPr>
          <w:b/>
          <w:bCs/>
          <w:sz w:val="20"/>
          <w:szCs w:val="20"/>
        </w:rPr>
        <w:t xml:space="preserve">BMJ</w:t>
      </w:r>
      <w:r>
        <w:rPr>
          <w:sz w:val="20"/>
          <w:szCs w:val="20"/>
        </w:rPr>
        <w:t xml:space="preserve">, v. 385, p. e078378, 2024. DOI: 10.1136/bmj-2023-078378.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CONNOR, Christopher W.. Open reimplementation of the BIS algorithms for depth of anesthesia. </w:t>
      </w:r>
      <w:r>
        <w:rPr>
          <w:b/>
          <w:bCs/>
          <w:sz w:val="20"/>
          <w:szCs w:val="20"/>
        </w:rPr>
        <w:t xml:space="preserve">Anesthesia &amp; Analgesia</w:t>
      </w:r>
      <w:r>
        <w:rPr>
          <w:sz w:val="20"/>
          <w:szCs w:val="20"/>
        </w:rPr>
        <w:t xml:space="preserve">, v. 135, n. 4, p. 855-864, 2022. DOI: 10.1213/ANE.0000000000006119.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CRAIK, Alexander; HE, Yongtian; CONTRERAS-VIDAL, Jose L.. Deep learning for electroencephalogram (EEG) classification tasks: a review. </w:t>
      </w:r>
      <w:r>
        <w:rPr>
          <w:b/>
          <w:bCs/>
          <w:sz w:val="20"/>
          <w:szCs w:val="20"/>
        </w:rPr>
        <w:t xml:space="preserve">Journal of Neural Engineering</w:t>
      </w:r>
      <w:r>
        <w:rPr>
          <w:sz w:val="20"/>
          <w:szCs w:val="20"/>
        </w:rPr>
        <w:t xml:space="preserve">, v. 16, n. 3, p. 031001, 2019. DOI: 10.1088/1741-2552/ab0ab5.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DAVID, Robert et al.. TensorFlow Lite Micro: embedded machine learning for TinyML systems. </w:t>
      </w:r>
      <w:r>
        <w:rPr>
          <w:b/>
          <w:bCs/>
          <w:sz w:val="20"/>
          <w:szCs w:val="20"/>
        </w:rPr>
        <w:t xml:space="preserve">Proceedings of Machine Learning and Systems</w:t>
      </w:r>
      <w:r>
        <w:rPr>
          <w:sz w:val="20"/>
          <w:szCs w:val="20"/>
        </w:rPr>
        <w:t xml:space="preserve">, v. 3, 2021. Disponível em: https://arxiv.org/abs/2010.08678.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ESPRESSIF SYSTEMS. ESP32 series datasheet. Espressif Systems, s.d.a. Disponível em: https://www.espressif.com/en/products/socs/esp32. [verificar antes de citar]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ESPRESSIF SYSTEMS. ESP32-S3 series datasheet. Espressif Systems, s.d.b. Disponível em: https://www.espressif.com/en/products/socs/esp32-s3. [verificar antes de citar]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ESPRESSIF SYSTEMS. ESP-NN: optimized neural network kernels for Espressif chips. ESP Component Registry, s.d.c. Disponível em: https://components.espressif.com/components/espressif/esp-nn.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ESPRESSIF SYSTEMS. ESP-DL: deep learning library for ESP series chips. ESP Component Registry, s.d.d. Disponível em: https://components.espressif.com/components/espressif/esp-dl.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FIELD, C. A.; WELSH, A. H.. Bootstrapping clustered data. </w:t>
      </w:r>
      <w:r>
        <w:rPr>
          <w:b/>
          <w:bCs/>
          <w:sz w:val="20"/>
          <w:szCs w:val="20"/>
        </w:rPr>
        <w:t xml:space="preserve">Journal of the Royal Statistical Society: Series B</w:t>
      </w:r>
      <w:r>
        <w:rPr>
          <w:sz w:val="20"/>
          <w:szCs w:val="20"/>
        </w:rPr>
        <w:t xml:space="preserve">, v. 69, n. 3, p. 369-390, 2007. DOI: 10.1111/j.1467-9868.2007.00593.x.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GARBE, Jakob et al.. DOSE-I: a multimodal biosignal dataset of procedural sedation for endoscopy. Zenodo, 2026. DOI: 10.5281/zenodo.18483292.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HAN, Song; MAO, Huizi; DALLY, William J.. Deep compression: compressing deep neural networks with pruning, trained quantization and Huffman coding. </w:t>
      </w:r>
      <w:r>
        <w:rPr>
          <w:b/>
          <w:bCs/>
          <w:sz w:val="20"/>
          <w:szCs w:val="20"/>
        </w:rPr>
        <w:t xml:space="preserve">International Conference on Learning Representations (ICLR)</w:t>
      </w:r>
      <w:r>
        <w:rPr>
          <w:sz w:val="20"/>
          <w:szCs w:val="20"/>
        </w:rPr>
        <w:t xml:space="preserve">, 2016. Disponível em: https://arxiv.org/abs/1510.00149.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HINTON, Geoffrey; VINYALS, Oriol; DEAN, Jeff. Distilling the knowledge in a neural network. arXiv, 2015. Disponível em: https://arxiv.org/abs/1503.02531.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IEC. IEC 62304: medical device software: software life cycle processes (2006 + Amd 1:2015). IEC, 2015.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IEC. IEC 60601-1: medical electrical equipment: part 1: general requirements for basic safety and essential performance. IEC, s.d.. [verificar antes de citar]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INGOLFSSON, Thorir Mar et al.. EEG-TCNet: an accurate temporal convolutional network for embedded motor-imagery brain-machine interfaces. </w:t>
      </w:r>
      <w:r>
        <w:rPr>
          <w:b/>
          <w:bCs/>
          <w:sz w:val="20"/>
          <w:szCs w:val="20"/>
        </w:rPr>
        <w:t xml:space="preserve">Proceedings of the IEEE International Conference on Systems, Man, and Cybernetics (SMC)</w:t>
      </w:r>
      <w:r>
        <w:rPr>
          <w:sz w:val="20"/>
          <w:szCs w:val="20"/>
        </w:rPr>
        <w:t xml:space="preserve">, 2020. DOI: 10.1109/SMC42975.2020.9283028.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INGOLFSSON, Thorir Mar et al.. EpiDeNet: an energy-efficient approach to seizure detection for embedded systems. </w:t>
      </w:r>
      <w:r>
        <w:rPr>
          <w:b/>
          <w:bCs/>
          <w:sz w:val="20"/>
          <w:szCs w:val="20"/>
        </w:rPr>
        <w:t xml:space="preserve">IEEE Biomedical Circuits and Systems Conference (BioCAS)</w:t>
      </w:r>
      <w:r>
        <w:rPr>
          <w:sz w:val="20"/>
          <w:szCs w:val="20"/>
        </w:rPr>
        <w:t xml:space="preserve">, 2023. Disponível em: https://arxiv.org/abs/2309.07135.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ISO. ISO 14971: medical devices: application of risk management to medical devices. ISO, 2019.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JACOB, Benoit et al.. Quantization and training of neural networks for efficient integer-arithmetic-only inference. </w:t>
      </w:r>
      <w:r>
        <w:rPr>
          <w:b/>
          <w:bCs/>
          <w:sz w:val="20"/>
          <w:szCs w:val="20"/>
        </w:rPr>
        <w:t xml:space="preserve">Proceedings of the IEEE/CVF Conference on Computer Vision and Pattern Recognition (CVPR)</w:t>
      </w:r>
      <w:r>
        <w:rPr>
          <w:sz w:val="20"/>
          <w:szCs w:val="20"/>
        </w:rPr>
        <w:t xml:space="preserve">, 2018. Disponível em: https://arxiv.org/abs/1712.05877.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JOHANSEN, Jay W.; SEBEL, Peter S.. Development and clinical application of electroencephalographic bispectrum monitoring. </w:t>
      </w:r>
      <w:r>
        <w:rPr>
          <w:b/>
          <w:bCs/>
          <w:sz w:val="20"/>
          <w:szCs w:val="20"/>
        </w:rPr>
        <w:t xml:space="preserve">Anesthesiology</w:t>
      </w:r>
      <w:r>
        <w:rPr>
          <w:sz w:val="20"/>
          <w:szCs w:val="20"/>
        </w:rPr>
        <w:t xml:space="preserve">, v. 93, n. 5, p. 1336-1344, 2000. DOI: 10.1097/00000542-200011000-00029.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KIRANYAZ, Serkan et al.. 1D convolutional neural networks and applications: a survey. </w:t>
      </w:r>
      <w:r>
        <w:rPr>
          <w:b/>
          <w:bCs/>
          <w:sz w:val="20"/>
          <w:szCs w:val="20"/>
        </w:rPr>
        <w:t xml:space="preserve">Mechanical Systems and Signal Processing</w:t>
      </w:r>
      <w:r>
        <w:rPr>
          <w:sz w:val="20"/>
          <w:szCs w:val="20"/>
        </w:rPr>
        <w:t xml:space="preserve">, v. 151, p. 107398, 2021. DOI: 10.1016/j.ymssp.2020.107398.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LAI, Liangzhen; SUDA, Naveen; CHANDRA, Vikas. CMSIS-NN: efficient neural network kernels for Arm Cortex-M CPUs. arXiv, 2018. Disponível em: https://arxiv.org/abs/1801.06601. [verificar antes de citar]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LAWHERN, Vernon J. et al.. EEGNet: a compact convolutional neural network for EEG-based brain-computer interfaces. </w:t>
      </w:r>
      <w:r>
        <w:rPr>
          <w:b/>
          <w:bCs/>
          <w:sz w:val="20"/>
          <w:szCs w:val="20"/>
        </w:rPr>
        <w:t xml:space="preserve">Journal of Neural Engineering</w:t>
      </w:r>
      <w:r>
        <w:rPr>
          <w:sz w:val="20"/>
          <w:szCs w:val="20"/>
        </w:rPr>
        <w:t xml:space="preserve">, v. 15, n. 5, p. 056013, 2018. DOI: 10.1088/1741-2552/aace8c.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LEE, Hyung-Chul et al.. VitalDB, a high-fidelity multi-parameter vital signs database in surgical patients. </w:t>
      </w:r>
      <w:r>
        <w:rPr>
          <w:b/>
          <w:bCs/>
          <w:sz w:val="20"/>
          <w:szCs w:val="20"/>
        </w:rPr>
        <w:t xml:space="preserve">Scientific Data</w:t>
      </w:r>
      <w:r>
        <w:rPr>
          <w:sz w:val="20"/>
          <w:szCs w:val="20"/>
        </w:rPr>
        <w:t xml:space="preserve">, v. 9, p. 279, 2022. DOI: 10.1038/s41597-022-01411-5.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LIN, Ji et al.. MCUNet: tiny deep learning on IoT devices. arXiv, 2020. Disponível em: https://arxiv.org/abs/2007.10319. [verificar antes de citar]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LIU, Quan et al.. Sample entropy analysis for the estimating depth of anaesthesia through human EEG signal at different levels of unconsciousness during surgeries. </w:t>
      </w:r>
      <w:r>
        <w:rPr>
          <w:b/>
          <w:bCs/>
          <w:sz w:val="20"/>
          <w:szCs w:val="20"/>
        </w:rPr>
        <w:t xml:space="preserve">PeerJ</w:t>
      </w:r>
      <w:r>
        <w:rPr>
          <w:sz w:val="20"/>
          <w:szCs w:val="20"/>
        </w:rPr>
        <w:t xml:space="preserve">, v. 6, p. e4817, 2018. DOI: 10.7717/peerj.4817.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LIU, Xilin; RICHARDSON, Andrew G.. Edge deep learning for neural implants: a case study of seizure detection and prediction. </w:t>
      </w:r>
      <w:r>
        <w:rPr>
          <w:b/>
          <w:bCs/>
          <w:sz w:val="20"/>
          <w:szCs w:val="20"/>
        </w:rPr>
        <w:t xml:space="preserve">Journal of Neural Engineering</w:t>
      </w:r>
      <w:r>
        <w:rPr>
          <w:sz w:val="20"/>
          <w:szCs w:val="20"/>
        </w:rPr>
        <w:t xml:space="preserve">, 2021. Disponível em: https://arxiv.org/abs/2012.00307. [verificar antes de citar]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MA, Li. EEG and BIS raw data (dataset, v1, 24 arquivos). Figshare, 2017. DOI: 10.6084/m9.figshare.5589841.v1.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MYLES, Paul S. et al.. Bispectral index monitoring to prevent awareness during anaesthesia: the B-Aware randomised controlled trial. </w:t>
      </w:r>
      <w:r>
        <w:rPr>
          <w:b/>
          <w:bCs/>
          <w:sz w:val="20"/>
          <w:szCs w:val="20"/>
        </w:rPr>
        <w:t xml:space="preserve">The Lancet</w:t>
      </w:r>
      <w:r>
        <w:rPr>
          <w:sz w:val="20"/>
          <w:szCs w:val="20"/>
        </w:rPr>
        <w:t xml:space="preserve">, v. 363, p. 1757-1763, 2004. DOI: 10.1016/S0140-6736(04)16300-9.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NSUGBE, Ejay; CONNELLY, Stephanie. Multiscale depth of anaesthesia prediction for surgery using frontal cortex electroencephalography. </w:t>
      </w:r>
      <w:r>
        <w:rPr>
          <w:b/>
          <w:bCs/>
          <w:sz w:val="20"/>
          <w:szCs w:val="20"/>
        </w:rPr>
        <w:t xml:space="preserve">Healthcare Technology Letters</w:t>
      </w:r>
      <w:r>
        <w:rPr>
          <w:sz w:val="20"/>
          <w:szCs w:val="20"/>
        </w:rPr>
        <w:t xml:space="preserve">, v. 9, p. 43-53, 2022. DOI: 10.1049/htl2.12025.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PARK, Yongjae et al.. A real-time depth of anesthesia monitoring system based on deep neural network with large EDO tolerant EEG analog front-end. </w:t>
      </w:r>
      <w:r>
        <w:rPr>
          <w:b/>
          <w:bCs/>
          <w:sz w:val="20"/>
          <w:szCs w:val="20"/>
        </w:rPr>
        <w:t xml:space="preserve">IEEE Transactions on Biomedical Circuits and Systems</w:t>
      </w:r>
      <w:r>
        <w:rPr>
          <w:sz w:val="20"/>
          <w:szCs w:val="20"/>
        </w:rPr>
        <w:t xml:space="preserve">, v. 14, p. 825-837, 2020. DOI: 10.1109/TBCAS.2020.2998172.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PILGE, Stefanie et al.. Time delay of index calculation: analysis of cerebral state, bispectral, and Narcotrend indices. </w:t>
      </w:r>
      <w:r>
        <w:rPr>
          <w:b/>
          <w:bCs/>
          <w:sz w:val="20"/>
          <w:szCs w:val="20"/>
        </w:rPr>
        <w:t xml:space="preserve">Anesthesiology</w:t>
      </w:r>
      <w:r>
        <w:rPr>
          <w:sz w:val="20"/>
          <w:szCs w:val="20"/>
        </w:rPr>
        <w:t xml:space="preserve">, v. 104, n. 3, p. 488-494, 2006. DOI: 10.1097/00000542-200603000-00016.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PURDON, Patrick L. et al.. Clinical electroencephalography for anesthesiologists: part I: background and basic signatures. </w:t>
      </w:r>
      <w:r>
        <w:rPr>
          <w:b/>
          <w:bCs/>
          <w:sz w:val="20"/>
          <w:szCs w:val="20"/>
        </w:rPr>
        <w:t xml:space="preserve">Anesthesiology</w:t>
      </w:r>
      <w:r>
        <w:rPr>
          <w:sz w:val="20"/>
          <w:szCs w:val="20"/>
        </w:rPr>
        <w:t xml:space="preserve">, v. 123, n. 4, p. 937-960, 2015. DOI: 10.1097/ALN.0000000000000841.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RAMPIL, Ira J.. A primer for EEG signal processing in anesthesia. </w:t>
      </w:r>
      <w:r>
        <w:rPr>
          <w:b/>
          <w:bCs/>
          <w:sz w:val="20"/>
          <w:szCs w:val="20"/>
        </w:rPr>
        <w:t xml:space="preserve">Anesthesiology</w:t>
      </w:r>
      <w:r>
        <w:rPr>
          <w:sz w:val="20"/>
          <w:szCs w:val="20"/>
        </w:rPr>
        <w:t xml:space="preserve">, v. 89, n. 4, p. 980-1002, 1998. [verificar antes de citar]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SAEB, Sohrab et al.. The need to approximate the use-case in clinical machine learning. </w:t>
      </w:r>
      <w:r>
        <w:rPr>
          <w:b/>
          <w:bCs/>
          <w:sz w:val="20"/>
          <w:szCs w:val="20"/>
        </w:rPr>
        <w:t xml:space="preserve">GigaScience</w:t>
      </w:r>
      <w:r>
        <w:rPr>
          <w:sz w:val="20"/>
          <w:szCs w:val="20"/>
        </w:rPr>
        <w:t xml:space="preserve">, v. 6, n. 5, 2017. DOI: 10.1093/gigascience/gix019.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SCHIRRMEISTER, Robin Tibor et al.. Deep learning with convolutional neural networks for EEG decoding and visualization. </w:t>
      </w:r>
      <w:r>
        <w:rPr>
          <w:b/>
          <w:bCs/>
          <w:sz w:val="20"/>
          <w:szCs w:val="20"/>
        </w:rPr>
        <w:t xml:space="preserve">Human Brain Mapping</w:t>
      </w:r>
      <w:r>
        <w:rPr>
          <w:sz w:val="20"/>
          <w:szCs w:val="20"/>
        </w:rPr>
        <w:t xml:space="preserve">, v. 38, n. 11, p. 5391-5420, 2017. DOI: 10.1002/hbm.23730.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SCHNEIDER, Tibor et al.. Q-EEGNet: an energy-efficient 8-bit quantized parallel EEGNet implementation for edge motor-imagery brain-machine interfaces. arXiv, 2020. DOI: 10.1109/SMARTCOMP50058.2020.00065. Disponível em: https://arxiv.org/abs/2004.11690.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SHI, Meng et al.. Estimating the depth of anesthesia from EEG signals based on a deep residual shrinkage network. </w:t>
      </w:r>
      <w:r>
        <w:rPr>
          <w:b/>
          <w:bCs/>
          <w:sz w:val="20"/>
          <w:szCs w:val="20"/>
        </w:rPr>
        <w:t xml:space="preserve">Sensors</w:t>
      </w:r>
      <w:r>
        <w:rPr>
          <w:sz w:val="20"/>
          <w:szCs w:val="20"/>
        </w:rPr>
        <w:t xml:space="preserve">, v. 23, n. 2, p. 1008, 2023. DOI: 10.3390/s23021008.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SHIRAISHI, T. et al.. A comparison of frontal and occipital bispectral index values obtained during neurosurgical procedures. </w:t>
      </w:r>
      <w:r>
        <w:rPr>
          <w:b/>
          <w:bCs/>
          <w:sz w:val="20"/>
          <w:szCs w:val="20"/>
        </w:rPr>
        <w:t xml:space="preserve">Anesthesia &amp; Analgesia</w:t>
      </w:r>
      <w:r>
        <w:rPr>
          <w:sz w:val="20"/>
          <w:szCs w:val="20"/>
        </w:rPr>
        <w:t xml:space="preserve">, v. 98, n. 6, p. 1773-1775, 2004. DOI: 10.1213/01.ANE.0000121344.69058.09.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SMITH, Warren D.; DUTTON, Robert C.; SMITH, N. Ty. Measuring the performance of anesthetic depth indicators. </w:t>
      </w:r>
      <w:r>
        <w:rPr>
          <w:b/>
          <w:bCs/>
          <w:sz w:val="20"/>
          <w:szCs w:val="20"/>
        </w:rPr>
        <w:t xml:space="preserve">Anesthesiology</w:t>
      </w:r>
      <w:r>
        <w:rPr>
          <w:sz w:val="20"/>
          <w:szCs w:val="20"/>
        </w:rPr>
        <w:t xml:space="preserve">, v. 84, n. 1, p. 38-51, 1996. DOI: 10.1097/00000542-199601000-00005.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SUKRITI et al.. Predicting depth of anaesthesia from single-channel EEG using a deep TCN-BiLSTM-attention model with EWMA. </w:t>
      </w:r>
      <w:r>
        <w:rPr>
          <w:b/>
          <w:bCs/>
          <w:sz w:val="20"/>
          <w:szCs w:val="20"/>
        </w:rPr>
        <w:t xml:space="preserve">Scientific Reports</w:t>
      </w:r>
      <w:r>
        <w:rPr>
          <w:sz w:val="20"/>
          <w:szCs w:val="20"/>
        </w:rPr>
        <w:t xml:space="preserve">, v. 16, p. 25470, 2026. DOI: 10.1038/s41598-026-54608-8.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TEXAS INSTRUMENTS. ADS1299: low-noise, 8-channel, 24-bit analog-to-digital converter for EEG and biopotential measurements. Texas Instruments, s.d.. Disponível em: https://www.ti.com/product/ADS1299. [verificar antes de citar]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U.S. FOOD AND DRUG ADMINISTRATION; HEALTH CANADA; MEDICINES AND HEALTHCARE PRODUCTS REGULATORY AGENCY. Good machine learning practice for medical device development: guiding principles. U.S. Food and Drug Administration, 2021. Disponível em: https://www.fda.gov/media/153486/download.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VITALDB. Open dataset: overview and track list. VitalDB, 2026. Disponível em: https://vitaldb.net/dataset/.</w:t>
      </w:r>
    </w:p>
    <w:p>
      <w:pPr>
        <w:spacing w:after="110" w:line="276"/>
        <w:ind w:left="567" w:hanging="567"/>
      </w:pPr>
      <w:r>
        <w:rPr>
          <w:sz w:val="20"/>
          <w:szCs w:val="20"/>
        </w:rPr>
        <w:t xml:space="preserve">WANG, Jindong et al.. Generalizing to unseen domains: a survey on domain generalization. </w:t>
      </w:r>
      <w:r>
        <w:rPr>
          <w:b/>
          <w:bCs/>
          <w:sz w:val="20"/>
          <w:szCs w:val="20"/>
        </w:rPr>
        <w:t xml:space="preserve">Proceedings of the Thirtieth International Joint Conference on Artificial Intelligence (IJCAI), survey track</w:t>
      </w:r>
      <w:r>
        <w:rPr>
          <w:sz w:val="20"/>
          <w:szCs w:val="20"/>
        </w:rPr>
        <w:t xml:space="preserve">, p. 4627-4635, 2021. Disponível em: https://arxiv.org/abs/2103.03097.</w:t>
      </w:r>
    </w:p>
    <w:p>
      <w:pPr>
        <w:pStyle w:val="Heading1"/>
        <w:pageBreakBefore/>
      </w:pPr>
      <w:r>
        <w:rPr>
          <w:b/>
          <w:bCs/>
        </w:rPr>
        <w:t xml:space="preserve">Anexo A  Cálculo de recursos da CNN</w:t>
      </w:r>
    </w:p>
    <w:p>
      <w:pPr>
        <w:spacing w:after="140" w:before="0" w:line="300"/>
        <w:jc w:val="left"/>
      </w:pPr>
      <w:r>
        <w:t xml:space="preserve">As operações foram contadas por camada como saídas × canais de saída × canais de entrada × tamanho do kernel, para convoluções, e como entrada × saída, para camadas lineares. Normalização em lote, GELU e pooling somam uma fração pequena e não entram no total. A contagem foi feita com hooks sobre a própria classe do projeto, com entrada de 640 amostras.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271"/>
      </w:tblGrid>
      <w:tr>
        <w:trPr>
          <w:tblHeader/>
        </w:trPr>
        <w:tc>
          <w:tcPr>
            <w:tcW w:type="dxa" w:w="4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Saída (canais × amostras)</w:t>
            </w:r>
          </w:p>
        </w:tc>
        <w:tc>
          <w:tcPr>
            <w:tcW w:type="dxa" w:w="22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MAC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Conv1D 1 → 32, kernel 7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32 × 640</w:t>
            </w:r>
          </w:p>
        </w:tc>
        <w:tc>
          <w:tcPr>
            <w:tcW w:type="dxa" w:w="22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143.360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Conv1D 32 → 64, kernel 7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64 × 320</w:t>
            </w:r>
          </w:p>
        </w:tc>
        <w:tc>
          <w:tcPr>
            <w:tcW w:type="dxa" w:w="22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4.587.520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Conv1D 64 → 128, kernel 5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128 × 160</w:t>
            </w:r>
          </w:p>
        </w:tc>
        <w:tc>
          <w:tcPr>
            <w:tcW w:type="dxa" w:w="22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6.553.600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Conv1D 128 → 128, kernel 5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128 × 80</w:t>
            </w:r>
          </w:p>
        </w:tc>
        <w:tc>
          <w:tcPr>
            <w:tcW w:type="dxa" w:w="22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6.553.600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Linear 128 → 64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64</w:t>
            </w:r>
          </w:p>
        </w:tc>
        <w:tc>
          <w:tcPr>
            <w:tcW w:type="dxa" w:w="22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8.192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Linear 64 → 1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2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Total por janela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2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17.846.336</w:t>
            </w:r>
          </w:p>
        </w:tc>
      </w:tr>
    </w:tbl>
    <w:p>
      <w:pPr>
        <w:spacing w:after="120"/>
      </w:pPr>
    </w:p>
    <w:p>
      <w:pPr>
        <w:spacing w:after="140" w:before="0" w:line="300"/>
        <w:jc w:val="left"/>
      </w:pPr>
      <w:r>
        <w:rPr>
          <w:b/>
          <w:bCs/>
        </w:rPr>
        <w:t xml:space="preserve">Parâmetros:</w:t>
      </w:r>
      <w:r>
        <w:t xml:space="preserve"> 146.817 treináveis. </w:t>
      </w:r>
      <w:r>
        <w:rPr>
          <w:b/>
          <w:bCs/>
        </w:rPr>
        <w:t xml:space="preserve">Pesos:</w:t>
      </w:r>
      <w:r>
        <w:t xml:space="preserve"> 146.817 × 4 bytes ≈ 587 KB em float32, e 146.817 × 1 byte ≈ 147 KB em INT8, sem metadados. </w:t>
      </w:r>
      <w:r>
        <w:rPr>
          <w:b/>
          <w:bCs/>
        </w:rPr>
        <w:t xml:space="preserve">Candidato M3 (estimativa):</w:t>
      </w:r>
      <w:r>
        <w:t xml:space="preserve"> canais 16 → 32 → 64 → 64 e regressão 64 → 32 → 1, com cerca de 37 mil parâmetros e cerca de 4,5 M MAC. Os números de M3 são estimativas de arquitetura e devem ser confirmados pela contagem real.</w:t>
      </w:r>
    </w:p>
    <w:p>
      <w:pPr>
        <w:pStyle w:val="Heading1"/>
        <w:keepNext/>
      </w:pPr>
      <w:r>
        <w:t xml:space="preserve">Anexo B  Glossário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1"/>
      </w:tblGrid>
      <w:tr>
        <w:trPr>
          <w:tblHeader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 neste projeto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BIS</w:t>
            </w:r>
          </w:p>
        </w:tc>
        <w:tc>
          <w:tcPr>
            <w:tcW w:type="dxa" w:w="6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Índice bispectral, escala de 0 a 100 derivada do EEG frontal, calculada por monitor comercial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CNN 1-D</w:t>
            </w:r>
          </w:p>
        </w:tc>
        <w:tc>
          <w:tcPr>
            <w:tcW w:type="dxa" w:w="6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Rede convolucional que aplica filtros ao longo do tempo, aqui sobre uma janela de EEG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MAC</w:t>
            </w:r>
          </w:p>
        </w:tc>
        <w:tc>
          <w:tcPr>
            <w:tcW w:type="dxa" w:w="6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Multiplicação e acumulação; unidade para contar as operações de uma convolução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INT8</w:t>
            </w:r>
          </w:p>
        </w:tc>
        <w:tc>
          <w:tcPr>
            <w:tcW w:type="dxa" w:w="6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Representação com inteiros de 8 bits, usada para reduzir memória e operações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PTQ / QAT</w:t>
            </w:r>
          </w:p>
        </w:tc>
        <w:tc>
          <w:tcPr>
            <w:tcW w:type="dxa" w:w="6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Quantização pós-treinamento / quantização consciente de treinamento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Destilação</w:t>
            </w:r>
          </w:p>
        </w:tc>
        <w:tc>
          <w:tcPr>
            <w:tcW w:type="dxa" w:w="6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Treino de um modelo menor para reproduzir as saídas de um modelo maior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TFLM</w:t>
            </w:r>
          </w:p>
        </w:tc>
        <w:tc>
          <w:tcPr>
            <w:tcW w:type="dxa" w:w="6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TensorFlow Lite Micro, interpretador para microcontroladores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ESP-NN / ESP-DL</w:t>
            </w:r>
          </w:p>
        </w:tc>
        <w:tc>
          <w:tcPr>
            <w:tcW w:type="dxa" w:w="6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Kernels otimizados e biblioteca de inferência da Espressif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Holdout</w:t>
            </w:r>
          </w:p>
        </w:tc>
        <w:tc>
          <w:tcPr>
            <w:tcW w:type="dxa" w:w="6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Conjunto de casos reservado para avaliação final, não usado no desenvolvimento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Bootstrap por caso</w:t>
            </w:r>
          </w:p>
        </w:tc>
        <w:tc>
          <w:tcPr>
            <w:tcW w:type="dxa" w:w="6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Reamostragem dos casos inteiros, para estimar incerteza respeitando a dependência interna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EWMA</w:t>
            </w:r>
          </w:p>
        </w:tc>
        <w:tc>
          <w:tcPr>
            <w:tcW w:type="dxa" w:w="6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Média móvel exponencial, usada apenas na apresentação em fluxo; o valor bruto é mantido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Abstenção</w:t>
            </w:r>
          </w:p>
        </w:tc>
        <w:tc>
          <w:tcPr>
            <w:tcW w:type="dxa" w:w="6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Resposta sem estimativa quando a qualidade do sinal está abaixo do limiar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Fidelidade</w:t>
            </w:r>
          </w:p>
        </w:tc>
        <w:tc>
          <w:tcPr>
            <w:tcW w:type="dxa" w:w="6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Concordância entre a saída do microcontrolador e a da simulação no computador</w:t>
            </w:r>
          </w:p>
        </w:tc>
      </w:tr>
    </w:tbl>
    <w:sectPr>
      <w:footerReference w:type="default" r:id="rId6"/>
      <w:footerReference w:type="first" r:id="rId7"/>
      <w:pgSz w:w="11906" w:h="16838" w:orient="portrait"/>
      <w:pgMar w:top="1701" w:right="1134" w:bottom="1417" w:left="1701" w:header="708" w:footer="709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BrainSniffer Embarcado · Proposta de mestrado · 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F1B2D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2937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BrainSniffer Embarcado: proposta de mestrado</dc:title>
  <dc:creator>Bruno Rocha Guimarães</dc:creator>
  <dc:description>Proposta de projeto de dissertação de mestrado</dc:description>
  <cp:lastModifiedBy>Un-named</cp:lastModifiedBy>
  <cp:revision>1</cp:revision>
  <dcterms:created xsi:type="dcterms:W3CDTF">2026-10-08T16:42:18.032Z</dcterms:created>
  <dcterms:modified xsi:type="dcterms:W3CDTF">2026-10-08T16:42:18.033Z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