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Aprendizado de Máquina Supervisionado – Descrição das Bases de Dados e Atributos (Entrega Parcial – 26/05/2025)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ao0bckdav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Integrantes do Grupo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Bruno Franz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Josué Weschenfelder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Inteligência Artificial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6mqgp9a2p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Bases de Dados Selecionadas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cumprir o requisito de trabalhar com três formatos distintos (tabular, imagem e texto) e avaliar diferentes técnicas de classificação supervisionada, foram escolhidos conjuntos públicos de tamanho médio, rótulos bem definidos e licença aberta para uso acadêmico.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wal1hh4bq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Base Tabular – Bank Marketing (UCI / Kaggle)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conjunto </w:t>
      </w:r>
      <w:r w:rsidDel="00000000" w:rsidR="00000000" w:rsidRPr="00000000">
        <w:rPr>
          <w:rtl w:val="0"/>
        </w:rPr>
        <w:t xml:space="preserve">Bank Marketing</w:t>
      </w:r>
      <w:r w:rsidDel="00000000" w:rsidR="00000000" w:rsidRPr="00000000">
        <w:rPr>
          <w:rtl w:val="0"/>
        </w:rPr>
        <w:t xml:space="preserve"> reúne 45 211 registros de chamadas de telemarketing feitas por um banco português entre 2008 e 2010. Cada instância descreve um cliente contactado, e o objetivo é prever se ele subscreve (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  <w:t xml:space="preserve">) ou não (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) um depósito a prazo. A base está em CSV e não contém valores ausentes.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por tipo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Numéricos contínuos ou de contagem</w:t>
      </w:r>
      <w:r w:rsidDel="00000000" w:rsidR="00000000" w:rsidRPr="00000000">
        <w:rPr>
          <w:rtl w:val="0"/>
        </w:rPr>
        <w:t xml:space="preserve">: idade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</w:t>
      </w:r>
      <w:r w:rsidDel="00000000" w:rsidR="00000000" w:rsidRPr="00000000">
        <w:rPr>
          <w:rtl w:val="0"/>
        </w:rPr>
        <w:t xml:space="preserve">), saldo médio anual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), duração da chamada em segundos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), dia do mês da chamada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</w:t>
      </w:r>
      <w:r w:rsidDel="00000000" w:rsidR="00000000" w:rsidRPr="00000000">
        <w:rPr>
          <w:rtl w:val="0"/>
        </w:rPr>
        <w:t xml:space="preserve">), número de contatos na campanha atual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campaign</w:t>
      </w:r>
      <w:r w:rsidDel="00000000" w:rsidR="00000000" w:rsidRPr="00000000">
        <w:rPr>
          <w:rtl w:val="0"/>
        </w:rPr>
        <w:t xml:space="preserve">), dias desde o último contato anterior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pdays</w:t>
      </w:r>
      <w:r w:rsidDel="00000000" w:rsidR="00000000" w:rsidRPr="00000000">
        <w:rPr>
          <w:rtl w:val="0"/>
        </w:rPr>
        <w:t xml:space="preserve">), total de contatos em campanhas anteriores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). Estes campos podem exigir padronização antes do treinamento.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Categóricos</w:t>
      </w:r>
      <w:r w:rsidDel="00000000" w:rsidR="00000000" w:rsidRPr="00000000">
        <w:rPr>
          <w:rtl w:val="0"/>
        </w:rPr>
        <w:t xml:space="preserve">: profissão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job</w:t>
      </w:r>
      <w:r w:rsidDel="00000000" w:rsidR="00000000" w:rsidRPr="00000000">
        <w:rPr>
          <w:rtl w:val="0"/>
        </w:rPr>
        <w:t xml:space="preserve">), estado civil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marital</w:t>
      </w:r>
      <w:r w:rsidDel="00000000" w:rsidR="00000000" w:rsidRPr="00000000">
        <w:rPr>
          <w:rtl w:val="0"/>
        </w:rPr>
        <w:t xml:space="preserve">), nível de educação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), tipo de contato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– telefone fixo ou celular), mês da chamada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month</w:t>
      </w:r>
      <w:r w:rsidDel="00000000" w:rsidR="00000000" w:rsidRPr="00000000">
        <w:rPr>
          <w:rtl w:val="0"/>
        </w:rPr>
        <w:t xml:space="preserve">) e resultado da campanha anterior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poutcome</w:t>
      </w:r>
      <w:r w:rsidDel="00000000" w:rsidR="00000000" w:rsidRPr="00000000">
        <w:rPr>
          <w:rtl w:val="0"/>
        </w:rPr>
        <w:t xml:space="preserve">). Todos precisam ser codificados (por exemplo, one‑hot).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Binários</w:t>
      </w:r>
      <w:r w:rsidDel="00000000" w:rsidR="00000000" w:rsidRPr="00000000">
        <w:rPr>
          <w:rtl w:val="0"/>
        </w:rPr>
        <w:t xml:space="preserve">: histórico de inadimplência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), existência de empréstimo habitacional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housing</w:t>
      </w:r>
      <w:r w:rsidDel="00000000" w:rsidR="00000000" w:rsidRPr="00000000">
        <w:rPr>
          <w:rtl w:val="0"/>
        </w:rPr>
        <w:t xml:space="preserve">) e existência de empréstimo pessoal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loan</w:t>
      </w:r>
      <w:r w:rsidDel="00000000" w:rsidR="00000000" w:rsidRPr="00000000">
        <w:rPr>
          <w:rtl w:val="0"/>
        </w:rPr>
        <w:t xml:space="preserve">). Já vêm como “yes”/“no” e podem ser convertidos diretamente em 0/1.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Rótulo</w:t>
      </w:r>
      <w:r w:rsidDel="00000000" w:rsidR="00000000" w:rsidRPr="00000000">
        <w:rPr>
          <w:rtl w:val="0"/>
        </w:rPr>
        <w:t xml:space="preserve">: campo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tl w:val="0"/>
        </w:rPr>
        <w:t xml:space="preserve">, binário, indicando a adesão ao produto financeiro.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mgcuavm8jd5x" w:id="3"/>
      <w:bookmarkEnd w:id="3"/>
      <w:r w:rsidDel="00000000" w:rsidR="00000000" w:rsidRPr="00000000">
        <w:rPr>
          <w:b w:val="1"/>
          <w:color w:val="000000"/>
          <w:rtl w:val="0"/>
        </w:rPr>
        <w:t xml:space="preserve">2. Base de Imagens – Flowers Recognition (Kaggle)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dataset </w:t>
      </w:r>
      <w:r w:rsidDel="00000000" w:rsidR="00000000" w:rsidRPr="00000000">
        <w:rPr>
          <w:b w:val="1"/>
          <w:rtl w:val="0"/>
        </w:rPr>
        <w:t xml:space="preserve">Flowers Recognition</w:t>
      </w:r>
      <w:r w:rsidDel="00000000" w:rsidR="00000000" w:rsidRPr="00000000">
        <w:rPr>
          <w:rtl w:val="0"/>
        </w:rPr>
        <w:t xml:space="preserve"> contém 4 242 fotografias JPEG (~320 × 240 px), divididas em cinco pastas que correspondem às espécies </w:t>
      </w:r>
      <w:r w:rsidDel="00000000" w:rsidR="00000000" w:rsidRPr="00000000">
        <w:rPr>
          <w:i w:val="1"/>
          <w:rtl w:val="0"/>
        </w:rPr>
        <w:t xml:space="preserve">daisy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dandelion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sunflower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tulip</w:t>
      </w:r>
      <w:r w:rsidDel="00000000" w:rsidR="00000000" w:rsidRPr="00000000">
        <w:rPr>
          <w:rtl w:val="0"/>
        </w:rPr>
        <w:t xml:space="preserve">. O problema de interesse é classificar cada imagem na sua categoria correta.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por tipo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Matriz de pixels RGB</w:t>
      </w:r>
      <w:r w:rsidDel="00000000" w:rsidR="00000000" w:rsidRPr="00000000">
        <w:rPr>
          <w:rtl w:val="0"/>
        </w:rPr>
        <w:t xml:space="preserve">: cada imagem representa uma amostra; é recomendável redimensionar para um tamanho uniforme (p.ex. 224 × 224 px) e normalizar valores de cor antes de alimentar uma CNN.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Rótulo</w:t>
      </w:r>
      <w:r w:rsidDel="00000000" w:rsidR="00000000" w:rsidRPr="00000000">
        <w:rPr>
          <w:rtl w:val="0"/>
        </w:rPr>
        <w:t xml:space="preserve">: a espécie da flor, derivada diretamente da pasta que contém a imagem (cinco classes no total).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Base Textual – </w:t>
      </w:r>
      <w:r w:rsidDel="00000000" w:rsidR="00000000" w:rsidRPr="00000000">
        <w:rPr>
          <w:sz w:val="24"/>
          <w:szCs w:val="24"/>
          <w:rtl w:val="0"/>
        </w:rPr>
        <w:t xml:space="preserve"> Books Reviews em Português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Books Reviews reúne 2 000 avaliações de livros publicadas por usuários da Amazon Brasil. Metade dos comentários está no arquivo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books_pt_neg</w:t>
      </w:r>
      <w:r w:rsidDel="00000000" w:rsidR="00000000" w:rsidRPr="00000000">
        <w:rPr>
          <w:sz w:val="24"/>
          <w:szCs w:val="24"/>
          <w:rtl w:val="0"/>
        </w:rPr>
        <w:t xml:space="preserve"> e foi classificada como negativa (abaixo de 3 estrelas); a outra metade encontra-se em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books_pt_pos</w:t>
      </w:r>
      <w:r w:rsidDel="00000000" w:rsidR="00000000" w:rsidRPr="00000000">
        <w:rPr>
          <w:sz w:val="24"/>
          <w:szCs w:val="24"/>
          <w:rtl w:val="0"/>
        </w:rPr>
        <w:t xml:space="preserve"> e corresponde a resenhas positivas (acima de 3 estrelas). O problema é identificar automaticamente se o texto expressa opinião favorável ou desfavorável. Atributos por tipo Texto livre principal: cada linha de texto contém uma resenha completa, que precisa ser tokenizada e vetorizada (TF‑IDF ou embeddings) para alimentar os modelos. Rótulo: 0 para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books_pt_neg</w:t>
      </w:r>
      <w:r w:rsidDel="00000000" w:rsidR="00000000" w:rsidRPr="00000000">
        <w:rPr>
          <w:sz w:val="24"/>
          <w:szCs w:val="24"/>
          <w:rtl w:val="0"/>
        </w:rPr>
        <w:t xml:space="preserve"> e 1 para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books_pt_pos</w:t>
      </w:r>
      <w:r w:rsidDel="00000000" w:rsidR="00000000" w:rsidRPr="00000000">
        <w:rPr>
          <w:sz w:val="24"/>
          <w:szCs w:val="24"/>
          <w:rtl w:val="0"/>
        </w:rPr>
        <w:t xml:space="preserve">. Como os arquivos não trazem metadados adicionais, o foco é exclusivamente na classificação textual.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Adequação aos Requisitos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Diversidade de formato</w:t>
      </w:r>
      <w:r w:rsidDel="00000000" w:rsidR="00000000" w:rsidRPr="00000000">
        <w:rPr>
          <w:rtl w:val="0"/>
        </w:rPr>
        <w:t xml:space="preserve">: inclui dados tabulares, imagens e texto, cobrindo diferentes etapas de pré‑processamento e arquitetura de modelos.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Separação clara dos tipos de atributo</w:t>
      </w:r>
      <w:r w:rsidDel="00000000" w:rsidR="00000000" w:rsidRPr="00000000">
        <w:rPr>
          <w:rtl w:val="0"/>
        </w:rPr>
        <w:t xml:space="preserve">: facilita planejar normalização, codificação ou tokenização, conforme o caso.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Tamanho gerenciável</w:t>
      </w:r>
      <w:r w:rsidDel="00000000" w:rsidR="00000000" w:rsidRPr="00000000">
        <w:rPr>
          <w:rtl w:val="0"/>
        </w:rPr>
        <w:t xml:space="preserve">: cada conjunto cabe em equipamentos de laboratório ou notebooks pessoais, permitindo realizar as três repetições de hiperparâmetros e as cinco arquiteturas de redes neurais exigidas.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Fontes públicas confiáveis</w:t>
      </w:r>
      <w:r w:rsidDel="00000000" w:rsidR="00000000" w:rsidRPr="00000000">
        <w:rPr>
          <w:rtl w:val="0"/>
        </w:rPr>
        <w:t xml:space="preserve">: UCI Repository, Kaggle e Github todos com licença aberta para uso acadêmico.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seguir registramos </w:t>
      </w:r>
      <w:r w:rsidDel="00000000" w:rsidR="00000000" w:rsidRPr="00000000">
        <w:rPr>
          <w:b w:val="1"/>
          <w:rtl w:val="0"/>
        </w:rPr>
        <w:t xml:space="preserve">os primeiros ensaios de treinamento</w:t>
      </w:r>
      <w:r w:rsidDel="00000000" w:rsidR="00000000" w:rsidRPr="00000000">
        <w:rPr>
          <w:rtl w:val="0"/>
        </w:rPr>
        <w:t xml:space="preserve"> em duas das bases, já medindo acurácia, precisão, recall, F‑score e tempos de execução. Esses números serão expandidos quando todas as combinações e arquiteturas estiverem prontas.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métricas calculadas sobre a classe minoritária “yes”.</w:t>
        <w:br w:type="textWrapping"/>
      </w:r>
      <w:r w:rsidDel="00000000" w:rsidR="00000000" w:rsidRPr="00000000">
        <w:rPr>
          <w:b w:val="1"/>
          <w:rtl w:val="0"/>
        </w:rPr>
        <w:t xml:space="preserve">Interpretação:</w:t>
      </w:r>
      <w:r w:rsidDel="00000000" w:rsidR="00000000" w:rsidRPr="00000000">
        <w:rPr>
          <w:rtl w:val="0"/>
        </w:rPr>
        <w:t xml:space="preserve"> a Árvore profunda (Config. 1) obteve o melhor recall e F‑score, enquanto a árvore podada a profundidade 10 (Config. 3) maximizou acurácia e precisão. Para um cenário em que falsos‑negativos custam mais (perder um cliente potencial), Config. 1 é preferível; caso contrário, Config. 3 oferece ligeiro ganho de acurácia sem penalizar muito o tempo.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https://archive.ics.uci.edu/dataset/222/bank%2Bmarketing?utm_source=chatgpt.com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https://www.kaggle.com/datasets/alxmamaev/flowers-recognition?resource=download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https://github.com/larifeliciana/books-reviews-portuguese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arifeliciana/books-reviews-portugue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chive.ics.uci.edu/dataset/222/bank%2Bmarketing?utm_source=chatgpt.com" TargetMode="External"/><Relationship Id="rId8" Type="http://schemas.openxmlformats.org/officeDocument/2006/relationships/hyperlink" Target="https://www.kaggle.com/datasets/alxmamaev/flowers-recognition?resource=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