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Signals 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tBodyAcc-XYZ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tGravityAcc-XYZ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tBodyAccJerk-XYZ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tBodyGyro-XYZ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tBodyGyroJerk-XYZ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tBodyAccMag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tGravityAccMag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tBodyAccJerkMag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tBodyGyroMag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tBodyGyroJerkMag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fBodyAcc-XYZ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fBodyAccJerk-XYZ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fBodyGyro-XYZ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fBodyAccMag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fBodyAccJerkMag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fBodyGyroMag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fBodyGyroJerkMag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Measures 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mean(): Mean value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std(): Standard deviation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mad(): Median absolute deviation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max(): Largest value in array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min(): Smallest value in array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sma(): Signal magnitude area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energy(): Energy measure. Sum of the squares divided by the number of values.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iqr(): Interquartile range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entropy(): Signal entropy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arCoeff(): Autorregresion coefficients with Burg order equal to 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correlation(): correlation coefficient between two signals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maxInds(): index of the frequency component with largest magnitude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meanFreq(): Weighted average of the frequency components to obtain a mean frequency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skewness(): skewness of the frequency domain signal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kurtosis(): kurtosis of the frequency domain signal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bandsEnergy(): Energy of a frequency interval within the 64 bins of the FFT of each window.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angle(): Angle between to vectors.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 train = </w:t>
        <w:tab/>
        <w:t xml:space="preserve">8967 col = 561x15-16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7352 rows</w:t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tBodyAcc-mean()-X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tBodyAcc-mean()-Y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tBodyAcc-mean()-Z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 tBodyAcc-std()-X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 tBodyAcc-std()-Y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 tBodyAcc-std()-Z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