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Self Care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Bruno Braga Guimarães Alves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Style w:val="Nfaseforte"/>
                <w:rFonts w:eastAsia="Times New Roman" w:cs="Arial" w:ascii="Lato Extended;Lato;Helvetica Neue;Helvetica;Arial;sans-serif" w:hAnsi="Lato Extended;Lato;Helvetica Neue;Helvetica;Arial;sans-serif"/>
                <w:b w:val="false"/>
                <w:i w:val="false"/>
                <w:caps w:val="false"/>
                <w:smallCaps w:val="false"/>
                <w:color w:val="2D3B45"/>
                <w:spacing w:val="0"/>
                <w:kern w:val="0"/>
                <w:sz w:val="24"/>
                <w:szCs w:val="22"/>
                <w:lang w:val="pt-BR" w:eastAsia="en-US" w:bidi="ar-SA"/>
              </w:rPr>
              <w:t>Apresentações de Informação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Apresentar informações básicas de primeiros socorros para os usuários.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Ttulo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898"/>
        <w:gridCol w:w="5297"/>
        <w:gridCol w:w="5104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3230" cy="129603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23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36595" cy="156972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595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14040" cy="159829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4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O que são os primeiros socorros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Ler as introduções sobre o que são os primeiros socorros.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Gerar um conhecimento prévio ao usuário sobre o que são os primeiros socorros.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Noções básicas sobre os primeiros socorros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Ler sobre as noções básicas de primeiros socorros para antes de prestar o socorro.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Orientar o usuário sobre como proceder inicialmente para prestar o socorro.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Como proceder diante de diferentes acidentes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Ler sobre como aplicar os primeiros socorros em diferentes tipos de situações e acidentes.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Informar o usuário sobre como proceder diante de cada tipo de acidente, tendo em vista que cada situação necessita de um tratamento especial.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Como proceder diante de diferentes acidentes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Ler sobre como aplicar os primeiros socorros em diferentes tipos de situações e acidentes.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Informar o usuário sobre como proceder diante de cada tipo de acidente, tendo em vista que cada situação necessita de um tratamento especial.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sectPr>
      <w:type w:val="nextPage"/>
      <w:pgSz w:orient="landscape" w:w="16838" w:h="11906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ato Extended">
    <w:altName w:val="Lato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LibreOffice/7.3.3.2$Windows_X86_64 LibreOffice_project/d1d0ea68f081ee2800a922cac8f79445e4603348</Application>
  <AppVersion>15.0000</AppVersion>
  <Pages>2</Pages>
  <Words>247</Words>
  <Characters>1350</Characters>
  <CharactersWithSpaces>1550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2022-05-15T21:42:35Z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