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87" w:rsidRDefault="00FC2A87" w:rsidP="00331290">
      <w:pPr>
        <w:jc w:val="center"/>
        <w:rPr>
          <w:sz w:val="28"/>
          <w:szCs w:val="28"/>
        </w:rPr>
      </w:pPr>
      <w:r>
        <w:rPr>
          <w:sz w:val="28"/>
          <w:szCs w:val="28"/>
        </w:rPr>
        <w:t>Analizador Semántico</w:t>
      </w:r>
    </w:p>
    <w:p w:rsidR="00331290" w:rsidRPr="00331290" w:rsidRDefault="00331290" w:rsidP="000C198F">
      <w:pPr>
        <w:jc w:val="both"/>
        <w:rPr>
          <w:b/>
          <w:bCs/>
        </w:rPr>
      </w:pPr>
      <w:r w:rsidRPr="00331290">
        <w:rPr>
          <w:b/>
          <w:bCs/>
        </w:rPr>
        <w:t>Estructura del stack:</w:t>
      </w:r>
    </w:p>
    <w:p w:rsidR="000C198F" w:rsidRDefault="000C198F" w:rsidP="000C198F">
      <w:pPr>
        <w:jc w:val="both"/>
      </w:pPr>
      <w:r>
        <w:t>El stack tendrá la estructura de una lista, y sólo contendrá los números que representen cada scope de la tabla de símbolos, además en la primera posición siempre contendrá el número 0 que representará la tabla de símbolos global y éste no podrá ser sacado del stack.</w:t>
      </w:r>
    </w:p>
    <w:p w:rsidR="00331290" w:rsidRDefault="00331290" w:rsidP="000C198F">
      <w:pPr>
        <w:jc w:val="both"/>
      </w:pPr>
      <w:r>
        <w:t>Un ejemplo del stack sería este:</w:t>
      </w:r>
    </w:p>
    <w:p w:rsidR="00331290" w:rsidRDefault="00331290" w:rsidP="00331290">
      <w:pPr>
        <w:pStyle w:val="Prrafodelista"/>
        <w:numPr>
          <w:ilvl w:val="0"/>
          <w:numId w:val="2"/>
        </w:numPr>
        <w:jc w:val="both"/>
      </w:pPr>
      <w:r>
        <w:t>Stack = [0,2,3]</w:t>
      </w:r>
    </w:p>
    <w:p w:rsidR="00331290" w:rsidRDefault="00331290" w:rsidP="000C198F">
      <w:pPr>
        <w:jc w:val="both"/>
      </w:pPr>
      <w:r>
        <w:t>En donde significa que el scope 3 está dentro del scope 2, y a su vez éste está dentro del scope 0.</w:t>
      </w:r>
    </w:p>
    <w:p w:rsidR="00FC2A87" w:rsidRDefault="00331290" w:rsidP="000C198F">
      <w:pPr>
        <w:jc w:val="both"/>
        <w:rPr>
          <w:b/>
          <w:bCs/>
        </w:rPr>
      </w:pPr>
      <w:r w:rsidRPr="00331290">
        <w:rPr>
          <w:b/>
          <w:bCs/>
        </w:rPr>
        <w:t>Estructura de la tabla de símbolos:</w:t>
      </w:r>
    </w:p>
    <w:p w:rsidR="00331290" w:rsidRDefault="00331290" w:rsidP="000C198F">
      <w:pPr>
        <w:jc w:val="both"/>
      </w:pPr>
      <w:r>
        <w:t>La tabla de símbolos correspondiente a cada se encontrará dentro de un diccionario de diccionarios, siendo identificada cada una mediante un valor entero</w:t>
      </w:r>
      <w:r w:rsidR="00327331">
        <w:t>, que además representa el orden en el que fueron creadas.</w:t>
      </w:r>
    </w:p>
    <w:p w:rsidR="00327331" w:rsidRPr="00331290" w:rsidRDefault="00327331" w:rsidP="000C198F">
      <w:pPr>
        <w:jc w:val="both"/>
      </w:pPr>
      <w:r>
        <w:t>Cada una de estas tablas tendrá la siguiente estructura:</w:t>
      </w:r>
    </w:p>
    <w:tbl>
      <w:tblPr>
        <w:tblStyle w:val="Tabladelista3-nfasis5"/>
        <w:tblW w:w="10663" w:type="dxa"/>
        <w:tblInd w:w="-917" w:type="dxa"/>
        <w:tblLook w:val="04A0" w:firstRow="1" w:lastRow="0" w:firstColumn="1" w:lastColumn="0" w:noHBand="0" w:noVBand="1"/>
      </w:tblPr>
      <w:tblGrid>
        <w:gridCol w:w="3261"/>
        <w:gridCol w:w="2743"/>
        <w:gridCol w:w="2175"/>
        <w:gridCol w:w="2484"/>
      </w:tblGrid>
      <w:tr w:rsidR="00327331" w:rsidTr="00327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Nombre del atributo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variable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Notas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Identificador del atributo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este se va a encontrar cada variable o función dentro de la tabla.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327331" w:rsidTr="00327331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Tipo de variable o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va a representar el tipo de la variable o función, pudiendo ser “void” o “int”.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“int”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Si es arreglo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atributo será “True” en caso de que la variable que representa sea un arreglo y “False” en cualquier otro caso.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7331" w:rsidTr="003273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Tamaño del arreglo o número de parámetros de la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atributo tendrá un valor de -1 cuando el identificador en cuestión no sea arreglo ni función. </w:t>
            </w:r>
          </w:p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ser función tendrá el número de parámetros correspondientes y en caso de ser arreglo tendrá el tamaño del arreglo.</w:t>
            </w:r>
          </w:p>
        </w:tc>
        <w:tc>
          <w:tcPr>
            <w:tcW w:w="2484" w:type="dxa"/>
          </w:tcPr>
          <w:p w:rsidR="00327331" w:rsidRDefault="00267AFF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267AFF" w:rsidP="00327331">
            <w:pPr>
              <w:jc w:val="center"/>
            </w:pPr>
            <w:r>
              <w:lastRenderedPageBreak/>
              <w:t>Scope de la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75" w:type="dxa"/>
          </w:tcPr>
          <w:p w:rsidR="00327331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atributo en cuestión sea una función, aquí estará el scope correspondiente a esta.</w:t>
            </w:r>
          </w:p>
          <w:p w:rsidR="00267AFF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7AFF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sea cualquier otro tipo de atributo, tendrá el valor de -1.</w:t>
            </w:r>
          </w:p>
        </w:tc>
        <w:tc>
          <w:tcPr>
            <w:tcW w:w="2484" w:type="dxa"/>
          </w:tcPr>
          <w:p w:rsidR="00327331" w:rsidRDefault="00267AFF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</w:tr>
    </w:tbl>
    <w:p w:rsidR="00FC2A87" w:rsidRDefault="00FC2A87" w:rsidP="000C198F">
      <w:pPr>
        <w:jc w:val="both"/>
      </w:pPr>
    </w:p>
    <w:p w:rsidR="00FC2A87" w:rsidRDefault="00FC2A87" w:rsidP="000C198F">
      <w:pPr>
        <w:jc w:val="both"/>
      </w:pPr>
      <w:r>
        <w:t>Reglas de inferencia de tipos:</w:t>
      </w:r>
    </w:p>
    <w:sectPr w:rsidR="00FC2A87" w:rsidSect="00FC2A87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8BE" w:rsidRDefault="007648BE" w:rsidP="00FC2A87">
      <w:pPr>
        <w:spacing w:after="0" w:line="240" w:lineRule="auto"/>
      </w:pPr>
      <w:r>
        <w:separator/>
      </w:r>
    </w:p>
  </w:endnote>
  <w:endnote w:type="continuationSeparator" w:id="0">
    <w:p w:rsidR="007648BE" w:rsidRDefault="007648BE" w:rsidP="00FC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8BE" w:rsidRDefault="007648BE" w:rsidP="00FC2A87">
      <w:pPr>
        <w:spacing w:after="0" w:line="240" w:lineRule="auto"/>
      </w:pPr>
      <w:r>
        <w:separator/>
      </w:r>
    </w:p>
  </w:footnote>
  <w:footnote w:type="continuationSeparator" w:id="0">
    <w:p w:rsidR="007648BE" w:rsidRDefault="007648BE" w:rsidP="00FC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87" w:rsidRDefault="00FC2A87">
    <w:pPr>
      <w:pStyle w:val="Encabezado"/>
    </w:pPr>
    <w:r>
      <w:t>Iván Bruno Muñoz Yhmoff</w:t>
    </w:r>
    <w:r>
      <w:tab/>
    </w:r>
    <w:r>
      <w:tab/>
      <w:t>A01366756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61EE4"/>
    <w:multiLevelType w:val="hybridMultilevel"/>
    <w:tmpl w:val="AA2A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7D1F"/>
    <w:multiLevelType w:val="hybridMultilevel"/>
    <w:tmpl w:val="E1AA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87"/>
    <w:rsid w:val="00043DB1"/>
    <w:rsid w:val="000946E0"/>
    <w:rsid w:val="000C198F"/>
    <w:rsid w:val="00267AFF"/>
    <w:rsid w:val="00305FE0"/>
    <w:rsid w:val="00327331"/>
    <w:rsid w:val="00331290"/>
    <w:rsid w:val="00566F3F"/>
    <w:rsid w:val="007648BE"/>
    <w:rsid w:val="007D304B"/>
    <w:rsid w:val="00A600F0"/>
    <w:rsid w:val="00DB6859"/>
    <w:rsid w:val="00DE3251"/>
    <w:rsid w:val="00E7203B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F2C1"/>
  <w15:chartTrackingRefBased/>
  <w15:docId w15:val="{AAF8B1F2-695F-499D-8F2F-DD32BC86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87"/>
  </w:style>
  <w:style w:type="paragraph" w:styleId="Piedepgina">
    <w:name w:val="footer"/>
    <w:basedOn w:val="Normal"/>
    <w:link w:val="Piedepgina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87"/>
  </w:style>
  <w:style w:type="paragraph" w:styleId="Prrafodelista">
    <w:name w:val="List Paragraph"/>
    <w:basedOn w:val="Normal"/>
    <w:uiPriority w:val="34"/>
    <w:qFormat/>
    <w:rsid w:val="00FC2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Bruno Muñoz Yhmoff</dc:creator>
  <cp:keywords/>
  <dc:description/>
  <cp:lastModifiedBy>Ivan Bruno Muñoz Yhmoff</cp:lastModifiedBy>
  <cp:revision>2</cp:revision>
  <dcterms:created xsi:type="dcterms:W3CDTF">2020-05-07T17:49:00Z</dcterms:created>
  <dcterms:modified xsi:type="dcterms:W3CDTF">2020-05-13T20:57:00Z</dcterms:modified>
</cp:coreProperties>
</file>