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AB5A" w14:textId="77777777" w:rsidR="003C7A06" w:rsidRDefault="00000000">
      <w:pPr>
        <w:pStyle w:val="Ttulo1"/>
      </w:pPr>
      <w:r>
        <w:t>Respostas às questões de validação – RFY/SUPHO</w:t>
      </w:r>
    </w:p>
    <w:p w14:paraId="2B00613B" w14:textId="77777777" w:rsidR="003C7A06" w:rsidRDefault="003C7A06"/>
    <w:p w14:paraId="489EDD7D" w14:textId="77777777" w:rsidR="003C7A06" w:rsidRDefault="00000000">
      <w:pPr>
        <w:pStyle w:val="Ttulo2"/>
      </w:pPr>
      <w:r>
        <w:t>1 – Setup total e próximas validações</w:t>
      </w:r>
    </w:p>
    <w:p w14:paraId="11A3E213" w14:textId="77777777" w:rsidR="003C7A06" w:rsidRDefault="003C7A06"/>
    <w:p w14:paraId="5724A853" w14:textId="77777777" w:rsidR="003C7A06" w:rsidRDefault="00000000">
      <w:r>
        <w:t>As validações pendentes no documento de Setup apontam cinco decisões críticas: definição do pacote de perguntas "Core", estabelecimento de uma regra para *confidence_level*, criação de um lembrete de reavaliação em 90 dias, definição de _tiers_ de pricing por ICP e ligação entre rituais e o plano 30/60/90 (*PAIP*). Abaixo seguem as respostas recomendadas para cada ponto.</w:t>
      </w:r>
    </w:p>
    <w:p w14:paraId="345A658C" w14:textId="77777777" w:rsidR="003C7A06" w:rsidRDefault="003C7A06"/>
    <w:p w14:paraId="0AF68D32" w14:textId="77777777" w:rsidR="003C7A06" w:rsidRDefault="00000000">
      <w:pPr>
        <w:pStyle w:val="Ttulo3"/>
      </w:pPr>
      <w:r>
        <w:t>1.1 Pacote **Core** de perguntas</w:t>
      </w:r>
    </w:p>
    <w:p w14:paraId="2F9368C5" w14:textId="77777777" w:rsidR="003C7A06" w:rsidRDefault="003C7A06"/>
    <w:p w14:paraId="45270A7C" w14:textId="77777777" w:rsidR="003C7A06" w:rsidRDefault="00000000">
      <w:pPr>
        <w:pStyle w:val="Commarcadores"/>
      </w:pPr>
      <w:r>
        <w:t>**Proposta:** congelar um pacote de ~15‑20 perguntas cobrindo os blocos A/B/C do ITSMO. Esse conjunto deve abranger itens de alinhamento estratégico, autonomia de processos e ritmo de execução. Selecionar as perguntas de maior correlação com performance de receita e garantir que todas as áreas críticas (vendas, marketing, operações) participem</w:t>
      </w:r>
      <w:r>
        <w:t>【</w:t>
      </w:r>
      <w:r>
        <w:t>968914181712250†L170-L172</w:t>
      </w:r>
      <w:r>
        <w:t>】</w:t>
      </w:r>
      <w:r>
        <w:t xml:space="preserve">.  </w:t>
      </w:r>
    </w:p>
    <w:p w14:paraId="05CA0460" w14:textId="77777777" w:rsidR="003C7A06" w:rsidRDefault="00000000">
      <w:pPr>
        <w:pStyle w:val="Commarcadores"/>
      </w:pPr>
      <w:r>
        <w:t>**Justificativa:** um conjunto enxuto reduz a fadiga dos respondentes, facilita a reaplicação trimestral (90/90) e garante comparabilidade histórica.</w:t>
      </w:r>
    </w:p>
    <w:p w14:paraId="32169BBC" w14:textId="77777777" w:rsidR="003C7A06" w:rsidRDefault="003C7A06"/>
    <w:p w14:paraId="2861525E" w14:textId="77777777" w:rsidR="003C7A06" w:rsidRDefault="00000000">
      <w:pPr>
        <w:pStyle w:val="Ttulo3"/>
      </w:pPr>
      <w:r>
        <w:t>1.2 Regra de **confidence_level**</w:t>
      </w:r>
    </w:p>
    <w:p w14:paraId="38A1962C" w14:textId="77777777" w:rsidR="003C7A06" w:rsidRDefault="003C7A06"/>
    <w:p w14:paraId="2A0AEE67" w14:textId="77777777" w:rsidR="003C7A06" w:rsidRDefault="00000000">
      <w:pPr>
        <w:pStyle w:val="Commarcadores"/>
      </w:pPr>
      <w:r>
        <w:t xml:space="preserve">**Alto:** mais de 70 % dos colaboradores elegíveis respondem e todos os blocos têm ≥ 80 % de cobertura; variabilidade das respostas &lt; 10 %.  </w:t>
      </w:r>
    </w:p>
    <w:p w14:paraId="0068A5C9" w14:textId="77777777" w:rsidR="003C7A06" w:rsidRDefault="00000000">
      <w:pPr>
        <w:pStyle w:val="Commarcadores"/>
      </w:pPr>
      <w:r>
        <w:t xml:space="preserve">**Médio:** 50–70 % de respostas ou algum bloco com cobertura entre 50–80 %.  </w:t>
      </w:r>
    </w:p>
    <w:p w14:paraId="49ACC49E" w14:textId="77777777" w:rsidR="003C7A06" w:rsidRDefault="00000000">
      <w:pPr>
        <w:pStyle w:val="Commarcadores"/>
      </w:pPr>
      <w:r>
        <w:t>**Baixo:** menos de 50 % de respostas ou lacunas em um ou mais blocos</w:t>
      </w:r>
      <w:r>
        <w:t>【</w:t>
      </w:r>
      <w:r>
        <w:t>968914181712250†L170-L174</w:t>
      </w:r>
      <w:r>
        <w:t>】</w:t>
      </w:r>
      <w:r>
        <w:t xml:space="preserve">.  </w:t>
      </w:r>
    </w:p>
    <w:p w14:paraId="03FFCEE0" w14:textId="77777777" w:rsidR="003C7A06" w:rsidRDefault="003C7A06"/>
    <w:p w14:paraId="07B01157" w14:textId="77777777" w:rsidR="003C7A06" w:rsidRDefault="00000000">
      <w:r>
        <w:t>Essa regra baseia‑se em amostra e cobertura: quanto maior a participação e a distribuição equitativa entre temas, maior a confiança nas conclusões.</w:t>
      </w:r>
    </w:p>
    <w:p w14:paraId="0895DF4C" w14:textId="77777777" w:rsidR="003C7A06" w:rsidRDefault="003C7A06"/>
    <w:p w14:paraId="78A40BEC" w14:textId="77777777" w:rsidR="003C7A06" w:rsidRDefault="00000000">
      <w:pPr>
        <w:pStyle w:val="Ttulo3"/>
      </w:pPr>
      <w:r>
        <w:lastRenderedPageBreak/>
        <w:t>1.3 Lembrete de reavaliação em 90 dias</w:t>
      </w:r>
    </w:p>
    <w:p w14:paraId="486A481B" w14:textId="77777777" w:rsidR="003C7A06" w:rsidRDefault="003C7A06"/>
    <w:p w14:paraId="305D18E3" w14:textId="77777777" w:rsidR="003C7A06" w:rsidRDefault="00000000">
      <w:r>
        <w:t>Ao encerrar uma campanha de diagnóstico, o sistema deve gerar automaticamente um evento para reavaliação em 90 dias (Inngest). Esse lembrete deve acionar notificações por e‑mail ou alertas aos sponsors e responsáveis, assegurando a periodicidade de comparação 90/90</w:t>
      </w:r>
      <w:r>
        <w:t>【</w:t>
      </w:r>
      <w:r>
        <w:t>968914181712250†L170-L176</w:t>
      </w:r>
      <w:r>
        <w:t>】</w:t>
      </w:r>
      <w:r>
        <w:t>.</w:t>
      </w:r>
    </w:p>
    <w:p w14:paraId="7E909793" w14:textId="77777777" w:rsidR="003C7A06" w:rsidRDefault="003C7A06"/>
    <w:p w14:paraId="0C13DDD0" w14:textId="77777777" w:rsidR="003C7A06" w:rsidRDefault="00000000">
      <w:pPr>
        <w:pStyle w:val="Ttulo3"/>
      </w:pPr>
      <w:r>
        <w:t>1.4 Tiers de pricing por ICP</w:t>
      </w:r>
    </w:p>
    <w:p w14:paraId="71312E54" w14:textId="77777777" w:rsidR="003C7A06" w:rsidRDefault="003C7A06"/>
    <w:p w14:paraId="06CB4E72" w14:textId="77777777" w:rsidR="003C7A06" w:rsidRDefault="00000000">
      <w:pPr>
        <w:pStyle w:val="Commarcadores"/>
      </w:pPr>
      <w:r>
        <w:t>**Indústria (Industry):** empresas com mais unidades e colaboradores; recomenda‑se planos iniciais para 10 usuários, até 200 colaboradores e 1–2 integrações. Pacotes de upgrade adicionam mais 500 colaboradores e unidades adicionais.</w:t>
      </w:r>
    </w:p>
    <w:p w14:paraId="408D1D8B" w14:textId="77777777" w:rsidR="003C7A06" w:rsidRDefault="00000000">
      <w:pPr>
        <w:pStyle w:val="Commarcadores"/>
      </w:pPr>
      <w:r>
        <w:t>**Tech/Serviços:** vendas consultivas com menos unidades e uso intenso de CRM; planos iniciais a partir de 5 usuários, até 100 colaboradores e 1 integração. Upgrades incluem mais 100 colaboradores ou integrações adicionais.</w:t>
      </w:r>
    </w:p>
    <w:p w14:paraId="00B324D5" w14:textId="77777777" w:rsidR="003C7A06" w:rsidRDefault="003C7A06"/>
    <w:p w14:paraId="7398AFDB" w14:textId="15BEC650" w:rsidR="003C7A06" w:rsidRDefault="00000000">
      <w:r>
        <w:t xml:space="preserve">O modelo de pricing sugerido (Starter/Growth/Enterprise) — com base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pesquisas</w:t>
      </w:r>
      <w:proofErr w:type="spellEnd"/>
      <w:r>
        <w:t xml:space="preserve"> de mercado</w:t>
      </w:r>
      <w:r w:rsidR="004864E3">
        <w:t xml:space="preserve"> </w:t>
      </w:r>
      <w:proofErr w:type="spellStart"/>
      <w:r>
        <w:t>mantém</w:t>
      </w:r>
      <w:proofErr w:type="spellEnd"/>
      <w:r>
        <w:t xml:space="preserve"> </w:t>
      </w:r>
      <w:proofErr w:type="spellStart"/>
      <w:r>
        <w:t>margens</w:t>
      </w:r>
      <w:proofErr w:type="spellEnd"/>
      <w:r>
        <w:t xml:space="preserve"> entre 70 e 85 % quando considerados custos de infra, IA, mensageria e </w:t>
      </w:r>
      <w:proofErr w:type="spellStart"/>
      <w:r>
        <w:t>suporte</w:t>
      </w:r>
      <w:proofErr w:type="spellEnd"/>
      <w:r>
        <w:t>.</w:t>
      </w:r>
    </w:p>
    <w:p w14:paraId="439F5268" w14:textId="77777777" w:rsidR="003C7A06" w:rsidRDefault="003C7A06"/>
    <w:p w14:paraId="522929BC" w14:textId="77777777" w:rsidR="003C7A06" w:rsidRDefault="00000000">
      <w:pPr>
        <w:pStyle w:val="Ttulo3"/>
      </w:pPr>
      <w:r>
        <w:t>1.5 Ligação de rituais e PAIP</w:t>
      </w:r>
    </w:p>
    <w:p w14:paraId="1032F5DB" w14:textId="77777777" w:rsidR="003C7A06" w:rsidRDefault="003C7A06"/>
    <w:p w14:paraId="0E0E7CE5" w14:textId="77777777" w:rsidR="003C7A06" w:rsidRDefault="00000000">
      <w:r>
        <w:t>Para transformar rituais em execução real, cada decisão registrada em um ritual deve ser vinculada a uma ação no plano 30/60/90. Essa associação permitirá rastrear se a ação foi concluída e avaliar o impacto das decisões no tempo.</w:t>
      </w:r>
    </w:p>
    <w:p w14:paraId="5CDA28B8" w14:textId="77777777" w:rsidR="003C7A06" w:rsidRDefault="003C7A06"/>
    <w:p w14:paraId="3858F848" w14:textId="52CAB9F7" w:rsidR="003C7A06" w:rsidRDefault="004864E3">
      <w:r>
        <w:br w:type="column"/>
      </w:r>
    </w:p>
    <w:p w14:paraId="4839A90A" w14:textId="77777777" w:rsidR="003C7A06" w:rsidRDefault="00000000">
      <w:pPr>
        <w:pStyle w:val="Ttulo2"/>
      </w:pPr>
      <w:r>
        <w:t>2 – Produto &amp; Escopo (Doc 01)</w:t>
      </w:r>
    </w:p>
    <w:p w14:paraId="6716B807" w14:textId="77777777" w:rsidR="003C7A06" w:rsidRDefault="003C7A06"/>
    <w:p w14:paraId="6D9EC4C0" w14:textId="77777777" w:rsidR="003C7A06" w:rsidRDefault="00000000">
      <w:pPr>
        <w:pStyle w:val="Ttulo3"/>
      </w:pPr>
      <w:r>
        <w:t>2.1 Validação do **CORE** do produto</w:t>
      </w:r>
    </w:p>
    <w:p w14:paraId="7EEEDC47" w14:textId="77777777" w:rsidR="003C7A06" w:rsidRDefault="003C7A06"/>
    <w:p w14:paraId="2C858A9A" w14:textId="77777777" w:rsidR="003C7A06" w:rsidRDefault="00000000">
      <w:r>
        <w:t>O núcleo do RFY/SUPHO — integrações CRM/ERP com reprocessamento, alertas e relatórios agendados, base de conhecimento com IA para insights, diagnóstico SUPHO/ITSMO com reavaliação em 90 dias e rituais/decisões com índice de ritmo</w:t>
      </w:r>
      <w:r>
        <w:t>【</w:t>
      </w:r>
      <w:r>
        <w:t>244912267460948†L64-L76</w:t>
      </w:r>
      <w:r>
        <w:t>】</w:t>
      </w:r>
      <w:r>
        <w:t xml:space="preserve"> — cobre os elementos necessários para reduzir fricções de receita e transformar dados em decisões. Não faltam partes essenciais.  </w:t>
      </w:r>
    </w:p>
    <w:p w14:paraId="1A2304B3" w14:textId="77777777" w:rsidR="003C7A06" w:rsidRDefault="003C7A06"/>
    <w:p w14:paraId="4C77F6D5" w14:textId="77777777" w:rsidR="003C7A06" w:rsidRDefault="00000000">
      <w:r>
        <w:t>Recursos como SSO/permissões avançadas, modelos preditivos complexos, benchmarks ultra nichados, certificação e automações avançadas são definidos como "nice‑to‑have" para etapas posteriores</w:t>
      </w:r>
      <w:r>
        <w:t>【</w:t>
      </w:r>
      <w:r>
        <w:t>244912267460948†L64-L75</w:t>
      </w:r>
      <w:r>
        <w:t>】</w:t>
      </w:r>
      <w:r>
        <w:t>.</w:t>
      </w:r>
    </w:p>
    <w:p w14:paraId="31451EE0" w14:textId="77777777" w:rsidR="003C7A06" w:rsidRDefault="003C7A06"/>
    <w:p w14:paraId="43BE3484" w14:textId="77777777" w:rsidR="003C7A06" w:rsidRDefault="00000000">
      <w:pPr>
        <w:pStyle w:val="Ttulo3"/>
      </w:pPr>
      <w:r>
        <w:t>2.2 ICPs candidatos</w:t>
      </w:r>
    </w:p>
    <w:p w14:paraId="72F18E2E" w14:textId="77777777" w:rsidR="003C7A06" w:rsidRDefault="003C7A06"/>
    <w:p w14:paraId="37E87FEF" w14:textId="77777777" w:rsidR="003C7A06" w:rsidRDefault="00000000">
      <w:pPr>
        <w:pStyle w:val="Commarcadores"/>
      </w:pPr>
      <w:r>
        <w:t>**Indústria:** requer processos rígidos, integração com ERP e várias áreas envolvidas. Devemos validar números mínimos de colaboradores (≈200+), um ERP/CRM consolidado, ciclos de venda mais longos e dados históricos consistentes</w:t>
      </w:r>
      <w:r>
        <w:t>【</w:t>
      </w:r>
      <w:r>
        <w:t>244912267460948†L58-L63</w:t>
      </w:r>
      <w:r>
        <w:t>】</w:t>
      </w:r>
      <w:r>
        <w:t>.</w:t>
      </w:r>
    </w:p>
    <w:p w14:paraId="6D80CC03" w14:textId="77777777" w:rsidR="003C7A06" w:rsidRDefault="00000000">
      <w:pPr>
        <w:pStyle w:val="Commarcadores"/>
      </w:pPr>
      <w:r>
        <w:t>**Tech/Serviços:** foca em vendas consultivas B2B com CRM ativo e cultura de rituais. Precisamos validar volume de atividades no CRM (≥ 100 registros semanais), número de usuários ativos (10–50) e disposição para rituais semanais</w:t>
      </w:r>
      <w:r>
        <w:t>【</w:t>
      </w:r>
      <w:r>
        <w:t>244912267460948†L58-L63</w:t>
      </w:r>
      <w:r>
        <w:t>】</w:t>
      </w:r>
      <w:r>
        <w:t>.</w:t>
      </w:r>
    </w:p>
    <w:p w14:paraId="011F8747" w14:textId="77777777" w:rsidR="003C7A06" w:rsidRDefault="003C7A06"/>
    <w:p w14:paraId="31956FC2" w14:textId="77777777" w:rsidR="003C7A06" w:rsidRDefault="00000000">
      <w:pPr>
        <w:pStyle w:val="Ttulo3"/>
      </w:pPr>
      <w:r>
        <w:t>2.3 Cadência mínima do sistema</w:t>
      </w:r>
    </w:p>
    <w:p w14:paraId="4CED2B76" w14:textId="77777777" w:rsidR="003C7A06" w:rsidRDefault="003C7A06"/>
    <w:p w14:paraId="41A925DF" w14:textId="77777777" w:rsidR="003C7A06" w:rsidRDefault="00000000">
      <w:r>
        <w:t>A cadência proposta — revisão semanal de relatório/fricções/decisões, reunião executiva mensal e reavaliação trimestral (90 dias)</w:t>
      </w:r>
      <w:r>
        <w:t>【</w:t>
      </w:r>
      <w:r>
        <w:t>244912267460948†L77-L80</w:t>
      </w:r>
      <w:r>
        <w:t>】</w:t>
      </w:r>
      <w:r>
        <w:t xml:space="preserve"> — está alinhada ao objetivo de transformar a receita num sistema vivo e deve ser mantida.</w:t>
      </w:r>
    </w:p>
    <w:p w14:paraId="111EAFA3" w14:textId="77777777" w:rsidR="003C7A06" w:rsidRDefault="003C7A06"/>
    <w:p w14:paraId="6144A899" w14:textId="77777777" w:rsidR="003C7A06" w:rsidRDefault="003C7A06"/>
    <w:p w14:paraId="2204F21D" w14:textId="77777777" w:rsidR="003C7A06" w:rsidRDefault="00000000">
      <w:pPr>
        <w:pStyle w:val="Ttulo2"/>
      </w:pPr>
      <w:r>
        <w:lastRenderedPageBreak/>
        <w:t>3 – Estrutura de custos &amp; suporte (Doc 02)</w:t>
      </w:r>
    </w:p>
    <w:p w14:paraId="32C91808" w14:textId="77777777" w:rsidR="003C7A06" w:rsidRDefault="003C7A06"/>
    <w:p w14:paraId="67ABA80C" w14:textId="77777777" w:rsidR="003C7A06" w:rsidRDefault="00000000">
      <w:pPr>
        <w:pStyle w:val="Ttulo3"/>
      </w:pPr>
      <w:r>
        <w:t>3.1 Custos existentes e métricas a instrumentar</w:t>
      </w:r>
    </w:p>
    <w:p w14:paraId="3F5AB697" w14:textId="77777777" w:rsidR="003C7A06" w:rsidRDefault="003C7A06"/>
    <w:p w14:paraId="161B9DB8" w14:textId="77777777" w:rsidR="003C7A06" w:rsidRDefault="00000000">
      <w:r>
        <w:t>A estrutura de custos cobre cinco camadas: infra (DB, storage, compute, filas), mensageria (e‑mails, Slack/webhooks), IA (tokens/embeddings), suporte e evolução (melhorias)</w:t>
      </w:r>
      <w:r>
        <w:t>【</w:t>
      </w:r>
      <w:r>
        <w:t>244912267460948†L101-L116</w:t>
      </w:r>
      <w:r>
        <w:t>】</w:t>
      </w:r>
      <w:r>
        <w:t>. Os custos hoje são:</w:t>
      </w:r>
    </w:p>
    <w:p w14:paraId="3C7E4DAC" w14:textId="77777777" w:rsidR="003C7A06" w:rsidRDefault="003C7A06"/>
    <w:p w14:paraId="5476914E" w14:textId="77777777" w:rsidR="003C7A06" w:rsidRDefault="00000000">
      <w:pPr>
        <w:pStyle w:val="Commarcadores"/>
      </w:pPr>
      <w:r>
        <w:t xml:space="preserve">**Infraestrutura:** despesas com banco de dados, armazenamento e compute, estimadas em ~R$ 95 por cliente/mês (equivalente a US$ 18 convertidos a 5,275 BRL/USD).  </w:t>
      </w:r>
    </w:p>
    <w:p w14:paraId="63B144A9" w14:textId="77777777" w:rsidR="003C7A06" w:rsidRDefault="00000000">
      <w:pPr>
        <w:pStyle w:val="Commarcadores"/>
      </w:pPr>
      <w:r>
        <w:t xml:space="preserve">**Mensageria:** cobranças da Resend e de integrações de Slack/webhook, cerca de R$ 4,75 por 1 k de e‑mails (≈US$ 0,90 convertido).  </w:t>
      </w:r>
    </w:p>
    <w:p w14:paraId="22A3F3BE" w14:textId="77777777" w:rsidR="003C7A06" w:rsidRDefault="00000000">
      <w:pPr>
        <w:pStyle w:val="Commarcadores"/>
      </w:pPr>
      <w:r>
        <w:t xml:space="preserve">**IA:** uso de modelos externos, em média R$ 2,11 por milhão de tokens (≈US$ 0,40 convertido).  </w:t>
      </w:r>
    </w:p>
    <w:p w14:paraId="06CA8C87" w14:textId="77777777" w:rsidR="003C7A06" w:rsidRDefault="00000000">
      <w:pPr>
        <w:pStyle w:val="Commarcadores"/>
      </w:pPr>
      <w:r>
        <w:t xml:space="preserve">**Suporte:** horas de atendimento, correções e pequenas melhorias (custos variam conforme plano).  </w:t>
      </w:r>
    </w:p>
    <w:p w14:paraId="237DDBFB" w14:textId="77777777" w:rsidR="003C7A06" w:rsidRDefault="003C7A06"/>
    <w:p w14:paraId="2E6CE3DB" w14:textId="150AC582" w:rsidR="003C7A06" w:rsidRDefault="00000000">
      <w:r>
        <w:t>Para formar unit economics, é necessário medir: tempo de onboarding, tickets de suporte e tempo de resolução, custo mensal de infraestrutura por volume de dados, custo por envio de mensagens, armazenamento e nível de adoção (usuários ativos/semana e colaboradores respondentes).</w:t>
      </w:r>
    </w:p>
    <w:p w14:paraId="226E20D4" w14:textId="77777777" w:rsidR="003C7A06" w:rsidRDefault="003C7A06"/>
    <w:p w14:paraId="75EE1770" w14:textId="77777777" w:rsidR="003C7A06" w:rsidRDefault="00000000">
      <w:pPr>
        <w:pStyle w:val="Ttulo3"/>
      </w:pPr>
      <w:r>
        <w:t>3.2 Modelo de suporte</w:t>
      </w:r>
    </w:p>
    <w:p w14:paraId="4A062D41" w14:textId="77777777" w:rsidR="003C7A06" w:rsidRDefault="003C7A06"/>
    <w:p w14:paraId="6A030355" w14:textId="77777777" w:rsidR="003C7A06" w:rsidRDefault="00000000">
      <w:r>
        <w:t>O documento propõe três níveis de suporte:</w:t>
      </w:r>
    </w:p>
    <w:p w14:paraId="10A3C33A" w14:textId="77777777" w:rsidR="003C7A06" w:rsidRDefault="003C7A06"/>
    <w:p w14:paraId="75853865" w14:textId="77777777" w:rsidR="003C7A06" w:rsidRDefault="00000000">
      <w:r>
        <w:t xml:space="preserve">1. **Light:** correções e ajustes menores (para pilotos e planos iniciais).  </w:t>
      </w:r>
    </w:p>
    <w:p w14:paraId="12D180F7" w14:textId="77777777" w:rsidR="003C7A06" w:rsidRDefault="00000000">
      <w:r>
        <w:t xml:space="preserve">2. **Standard:** correções e pequenas melhorias mensais (para clientes pagantes recorrentes).  </w:t>
      </w:r>
    </w:p>
    <w:p w14:paraId="0A4D4A64" w14:textId="77777777" w:rsidR="003C7A06" w:rsidRDefault="00000000">
      <w:r>
        <w:t>3. **Premium:** SLA rígido de resposta e resolução (para enterprise e multiunidades)</w:t>
      </w:r>
      <w:r>
        <w:t>【</w:t>
      </w:r>
      <w:r>
        <w:t>244912267460948†L127-L137</w:t>
      </w:r>
      <w:r>
        <w:t>】</w:t>
      </w:r>
      <w:r>
        <w:t>.</w:t>
      </w:r>
    </w:p>
    <w:p w14:paraId="522B9CD1" w14:textId="77777777" w:rsidR="003C7A06" w:rsidRDefault="003C7A06"/>
    <w:p w14:paraId="6E2BEA7F" w14:textId="77777777" w:rsidR="003C7A06" w:rsidRDefault="00000000">
      <w:pPr>
        <w:pStyle w:val="Ttulo3"/>
      </w:pPr>
      <w:r>
        <w:lastRenderedPageBreak/>
        <w:t>3.3 Informações necessárias da Opus (infraestrutura)</w:t>
      </w:r>
    </w:p>
    <w:p w14:paraId="25CFEB8C" w14:textId="77777777" w:rsidR="003C7A06" w:rsidRDefault="003C7A06"/>
    <w:p w14:paraId="348C126E" w14:textId="77777777" w:rsidR="003C7A06" w:rsidRDefault="00000000">
      <w:r>
        <w:t xml:space="preserve">Para validar custos, precisamos da Opus: </w:t>
      </w:r>
    </w:p>
    <w:p w14:paraId="7CABE51E" w14:textId="77777777" w:rsidR="003C7A06" w:rsidRDefault="003C7A06"/>
    <w:p w14:paraId="6981A3F6" w14:textId="77777777" w:rsidR="003C7A06" w:rsidRDefault="00000000">
      <w:pPr>
        <w:pStyle w:val="Commarcadores"/>
      </w:pPr>
      <w:r>
        <w:t xml:space="preserve">Custo mensal atual de banco de dados, compute e storage;  </w:t>
      </w:r>
    </w:p>
    <w:p w14:paraId="2D7BFC25" w14:textId="77777777" w:rsidR="003C7A06" w:rsidRDefault="00000000">
      <w:pPr>
        <w:pStyle w:val="Commarcadores"/>
      </w:pPr>
      <w:r>
        <w:t xml:space="preserve">Custo incremental por cliente adicional (marginal);  </w:t>
      </w:r>
    </w:p>
    <w:p w14:paraId="0884E0E0" w14:textId="77777777" w:rsidR="003C7A06" w:rsidRDefault="00000000">
      <w:pPr>
        <w:pStyle w:val="Commarcadores"/>
      </w:pPr>
      <w:r>
        <w:t xml:space="preserve">Limites de capacidade de cada serviço e pontos de inflexão;  </w:t>
      </w:r>
    </w:p>
    <w:p w14:paraId="6CB3A526" w14:textId="5947CAF1" w:rsidR="003C7A06" w:rsidRDefault="00000000">
      <w:pPr>
        <w:pStyle w:val="Commarcadores"/>
      </w:pPr>
      <w:r>
        <w:t xml:space="preserve">Plano de observabilidade para </w:t>
      </w:r>
      <w:proofErr w:type="spellStart"/>
      <w:r>
        <w:t>medir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>.</w:t>
      </w:r>
    </w:p>
    <w:p w14:paraId="42D3905A" w14:textId="77777777" w:rsidR="003C7A06" w:rsidRDefault="003C7A06"/>
    <w:p w14:paraId="4955959A" w14:textId="77777777" w:rsidR="003C7A06" w:rsidRDefault="003C7A06"/>
    <w:p w14:paraId="735904AB" w14:textId="77777777" w:rsidR="003C7A06" w:rsidRDefault="00000000">
      <w:pPr>
        <w:pStyle w:val="Ttulo2"/>
      </w:pPr>
      <w:r>
        <w:t>4 – Drivers de cobrança &amp; precificação (Doc 03)</w:t>
      </w:r>
    </w:p>
    <w:p w14:paraId="3914F827" w14:textId="77777777" w:rsidR="003C7A06" w:rsidRDefault="003C7A06"/>
    <w:p w14:paraId="7480B686" w14:textId="77777777" w:rsidR="003C7A06" w:rsidRDefault="00000000">
      <w:pPr>
        <w:pStyle w:val="Ttulo3"/>
      </w:pPr>
      <w:r>
        <w:t>4.1 Validação dos drivers</w:t>
      </w:r>
    </w:p>
    <w:p w14:paraId="08E72207" w14:textId="77777777" w:rsidR="003C7A06" w:rsidRDefault="003C7A06"/>
    <w:p w14:paraId="261116E0" w14:textId="32415AAA" w:rsidR="003C7A06" w:rsidRDefault="00000000">
      <w:r>
        <w:t xml:space="preserve">Os drivers propostos (usuários, colaboradores, unidades e integrações) medem de forma justa </w:t>
      </w:r>
      <w:proofErr w:type="spellStart"/>
      <w:r>
        <w:t>custo</w:t>
      </w:r>
      <w:proofErr w:type="spellEnd"/>
      <w:r>
        <w:t xml:space="preserve"> e valor </w:t>
      </w:r>
      <w:proofErr w:type="spellStart"/>
      <w:r>
        <w:t>entregues</w:t>
      </w:r>
      <w:proofErr w:type="spellEnd"/>
      <w:r>
        <w:t>:</w:t>
      </w:r>
    </w:p>
    <w:p w14:paraId="78A748EB" w14:textId="77777777" w:rsidR="003C7A06" w:rsidRDefault="003C7A06"/>
    <w:p w14:paraId="44A54C64" w14:textId="77777777" w:rsidR="003C7A06" w:rsidRDefault="00000000">
      <w:pPr>
        <w:pStyle w:val="Commarcadores"/>
      </w:pPr>
      <w:r>
        <w:t xml:space="preserve">**Usuários:** refletem adoção e acesso direto à plataforma.  </w:t>
      </w:r>
    </w:p>
    <w:p w14:paraId="14707D42" w14:textId="77777777" w:rsidR="003C7A06" w:rsidRDefault="00000000">
      <w:pPr>
        <w:pStyle w:val="Commarcadores"/>
      </w:pPr>
      <w:r>
        <w:t xml:space="preserve">**Colaboradores:** correspondem ao custo de campanhas, armazenamento e histórico.  </w:t>
      </w:r>
    </w:p>
    <w:p w14:paraId="3A821A27" w14:textId="77777777" w:rsidR="003C7A06" w:rsidRDefault="00000000">
      <w:pPr>
        <w:pStyle w:val="Commarcadores"/>
      </w:pPr>
      <w:r>
        <w:t xml:space="preserve">**Unidades:** agregam complexidade e exigem mais governança.  </w:t>
      </w:r>
    </w:p>
    <w:p w14:paraId="2C322775" w14:textId="77777777" w:rsidR="003C7A06" w:rsidRDefault="00000000">
      <w:pPr>
        <w:pStyle w:val="Commarcadores"/>
      </w:pPr>
      <w:r>
        <w:t xml:space="preserve">**Integrações:** geram trabalho de implementação e manutenção.  </w:t>
      </w:r>
    </w:p>
    <w:p w14:paraId="1B206C74" w14:textId="77777777" w:rsidR="003C7A06" w:rsidRDefault="003C7A06"/>
    <w:p w14:paraId="45ED536A" w14:textId="77777777" w:rsidR="003C7A06" w:rsidRDefault="00000000">
      <w:r>
        <w:t>Esses drivers capturam bem o custo marginal e o valor; não travam vendas se houver flexibilidade nas faixas (tiers).</w:t>
      </w:r>
    </w:p>
    <w:p w14:paraId="3CA5E8F8" w14:textId="77777777" w:rsidR="003C7A06" w:rsidRDefault="003C7A06"/>
    <w:p w14:paraId="43E7354E" w14:textId="77777777" w:rsidR="003C7A06" w:rsidRDefault="00000000">
      <w:pPr>
        <w:pStyle w:val="Ttulo3"/>
      </w:pPr>
      <w:r>
        <w:t>4.2 Faixas de preço (tiers)</w:t>
      </w:r>
    </w:p>
    <w:p w14:paraId="17F4C88E" w14:textId="77777777" w:rsidR="003C7A06" w:rsidRDefault="003C7A06"/>
    <w:p w14:paraId="24BEB38C" w14:textId="104000CE" w:rsidR="003C7A06" w:rsidRDefault="00000000">
      <w:r>
        <w:t xml:space="preserve">Com base na necessidade de definir faixas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conhecer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custos, </w:t>
      </w:r>
      <w:proofErr w:type="spellStart"/>
      <w:r>
        <w:t>propõem</w:t>
      </w:r>
      <w:proofErr w:type="spellEnd"/>
      <w:r>
        <w:t xml:space="preserve">‑se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intervalos de planos para cada ICP:</w:t>
      </w:r>
    </w:p>
    <w:p w14:paraId="42FAD208" w14:textId="77777777" w:rsidR="003C7A06" w:rsidRDefault="003C7A06"/>
    <w:p w14:paraId="2B586462" w14:textId="77777777" w:rsidR="003C7A06" w:rsidRDefault="00000000">
      <w:r>
        <w:t>| ICP/Plano       | Tier 1 (Starter) | Tier 2 (Growth) | Tier 3 (Enterprise) |</w:t>
      </w:r>
    </w:p>
    <w:p w14:paraId="790FD785" w14:textId="77777777" w:rsidR="003C7A06" w:rsidRDefault="00000000">
      <w:r>
        <w:lastRenderedPageBreak/>
        <w:t>|-----------------|------------------|-----------------|---------------------|</w:t>
      </w:r>
    </w:p>
    <w:p w14:paraId="6FCBF3F0" w14:textId="77777777" w:rsidR="003C7A06" w:rsidRDefault="00000000">
      <w:r>
        <w:t>| **Tech/Serviços** | 5–10 usuários, até 100 colaboradores e 1 integração | 10–30 usuários, até 300 colaboradores, 2 unidades e até 2 integrações | mais de 30 usuários, acima de 300 colaboradores e múltiplas unidades/integrações |</w:t>
      </w:r>
    </w:p>
    <w:p w14:paraId="7E5A2A4E" w14:textId="77777777" w:rsidR="003C7A06" w:rsidRDefault="00000000">
      <w:r>
        <w:t>| **Indústria**     | 10–20 usuários, até 200 colaboradores e 1–2 unidades | 20–60 usuários, até 600 colaboradores, 3 unidades e 2 integrações | mais de 60 usuários, acima de 600 colaboradores e múltiplas unidades/integrações |</w:t>
      </w:r>
    </w:p>
    <w:p w14:paraId="6415F6BB" w14:textId="77777777" w:rsidR="003C7A06" w:rsidRDefault="003C7A06"/>
    <w:p w14:paraId="39A762A3" w14:textId="026B9889" w:rsidR="003C7A06" w:rsidRDefault="00000000">
      <w:r>
        <w:t>Os preços sugeridos (conforme estudo de mercado) foram convertidos para reais com base na taxa de câmbio de 1 USD = 5,275 BRL</w:t>
      </w:r>
      <w:r>
        <w:t>【</w:t>
      </w:r>
      <w:r>
        <w:t>970078615795070†L39-L55</w:t>
      </w:r>
      <w:r>
        <w:t>】</w:t>
      </w:r>
      <w:r>
        <w:t>. Assim, o **Starter** inicia em aproximadamente **R$ 786 de base + R$ 158 por usuário**, o **Growth** em **R$ 1.577 de base + R$ 132 por usuário**, e o **Enterprise** em **R$ 5.270 de base + R$ 211 por usuário**. Esses valores preservam as margens brutas de 70 </w:t>
      </w:r>
      <w:proofErr w:type="gramStart"/>
      <w:r>
        <w:t>a</w:t>
      </w:r>
      <w:proofErr w:type="gramEnd"/>
      <w:r>
        <w:t> 85 %</w:t>
      </w:r>
      <w:r>
        <w:t>【</w:t>
      </w:r>
      <w:r>
        <w:t>.</w:t>
      </w:r>
    </w:p>
    <w:p w14:paraId="657FE6F9" w14:textId="77777777" w:rsidR="003C7A06" w:rsidRDefault="003C7A06"/>
    <w:p w14:paraId="76CCBD8A" w14:textId="77777777" w:rsidR="003C7A06" w:rsidRDefault="00000000">
      <w:pPr>
        <w:pStyle w:val="Ttulo3"/>
      </w:pPr>
      <w:r>
        <w:t>4.3 Custo marginal por driver e margem alvo</w:t>
      </w:r>
    </w:p>
    <w:p w14:paraId="2790443B" w14:textId="77777777" w:rsidR="003C7A06" w:rsidRDefault="003C7A06"/>
    <w:p w14:paraId="649650E4" w14:textId="77777777" w:rsidR="003C7A06" w:rsidRDefault="00000000">
      <w:pPr>
        <w:pStyle w:val="Commarcadores"/>
      </w:pPr>
      <w:r>
        <w:t xml:space="preserve">**+1 usuário:** acréscimo de **R$ 132–211/mês** (equivalentes a US$ 25–40), refletindo consumo incremental de infra, IA e suporte.  </w:t>
      </w:r>
    </w:p>
    <w:p w14:paraId="75AA2346" w14:textId="77777777" w:rsidR="003C7A06" w:rsidRDefault="00000000">
      <w:pPr>
        <w:pStyle w:val="Commarcadores"/>
      </w:pPr>
      <w:r>
        <w:t xml:space="preserve">**+100 colaboradores adicionais:** cerca de **R$ 264/mês** (≈US$ 50) para cobrir e‑mails e armazenamento.  </w:t>
      </w:r>
    </w:p>
    <w:p w14:paraId="1B183C94" w14:textId="77777777" w:rsidR="003C7A06" w:rsidRDefault="00000000">
      <w:pPr>
        <w:pStyle w:val="Commarcadores"/>
      </w:pPr>
      <w:r>
        <w:t xml:space="preserve">**+1 integração:** custo de setup de **≈R$ 2.638** (≈US$ 500 convertido) e **≈R$ 264/mês** de manutenção.  </w:t>
      </w:r>
    </w:p>
    <w:p w14:paraId="0BD8AEE5" w14:textId="77777777" w:rsidR="003C7A06" w:rsidRDefault="00000000">
      <w:pPr>
        <w:pStyle w:val="Commarcadores"/>
      </w:pPr>
      <w:r>
        <w:t xml:space="preserve">**+1 unidade adicional:** **≈R$ 528/mês** (≈US$ 100), devido à complexidade de governança.  </w:t>
      </w:r>
    </w:p>
    <w:p w14:paraId="12BA325A" w14:textId="77777777" w:rsidR="003C7A06" w:rsidRDefault="003C7A06"/>
    <w:p w14:paraId="0C2A7227" w14:textId="77777777" w:rsidR="003C7A06" w:rsidRDefault="00000000">
      <w:r>
        <w:t>A margem alvo deve permanecer ≥ 70 %, e a taxa de onboarding (setup + integração + primeira campanha + readout) deve ter payback em até 3 meses, com valor entre **R$ 10.550 e R$ 26.375** (correspondentes a US$ 2 000–5 000) conforme o porte do cliente.</w:t>
      </w:r>
    </w:p>
    <w:p w14:paraId="5369F245" w14:textId="74C76DFF" w:rsidR="003C7A06" w:rsidRDefault="004864E3">
      <w:r>
        <w:br w:type="column"/>
      </w:r>
    </w:p>
    <w:p w14:paraId="2280326F" w14:textId="77777777" w:rsidR="003C7A06" w:rsidRDefault="003C7A06"/>
    <w:p w14:paraId="2B1B9F59" w14:textId="77777777" w:rsidR="003C7A06" w:rsidRDefault="00000000">
      <w:pPr>
        <w:pStyle w:val="Ttulo2"/>
      </w:pPr>
      <w:r>
        <w:t>5 – Brief para software house (Doc 04)</w:t>
      </w:r>
    </w:p>
    <w:p w14:paraId="5DBCD6B2" w14:textId="77777777" w:rsidR="003C7A06" w:rsidRDefault="003C7A06"/>
    <w:p w14:paraId="308561CD" w14:textId="77777777" w:rsidR="003C7A06" w:rsidRDefault="00000000">
      <w:pPr>
        <w:pStyle w:val="Ttulo3"/>
      </w:pPr>
      <w:r>
        <w:t>5.1 Módulos (Estado e prioridades)</w:t>
      </w:r>
    </w:p>
    <w:p w14:paraId="0805C7F9" w14:textId="77777777" w:rsidR="003C7A06" w:rsidRDefault="003C7A06"/>
    <w:p w14:paraId="60D54E68" w14:textId="77777777" w:rsidR="003C7A06" w:rsidRDefault="00000000">
      <w:r>
        <w:t>| Módulo                                              | Estado atual                                                                         | Prioridade |</w:t>
      </w:r>
    </w:p>
    <w:p w14:paraId="722DD966" w14:textId="77777777" w:rsidR="003C7A06" w:rsidRDefault="00000000">
      <w:r>
        <w:t>|----------------------------------------------------|----------------------------------------------------------------------------------------|-----------|</w:t>
      </w:r>
    </w:p>
    <w:p w14:paraId="63FA144A" w14:textId="77777777" w:rsidR="003C7A06" w:rsidRDefault="00000000">
      <w:r>
        <w:t>| Integração CRM/ERP + upload CSV                   | Done – ingestão e reprocessamento implementados</w:t>
      </w:r>
      <w:r>
        <w:t>【</w:t>
      </w:r>
      <w:r>
        <w:t>968914181712250†L76-L83</w:t>
      </w:r>
      <w:r>
        <w:t>】</w:t>
      </w:r>
      <w:r>
        <w:t xml:space="preserve">             | P0        |</w:t>
      </w:r>
    </w:p>
    <w:p w14:paraId="0BE94CDA" w14:textId="77777777" w:rsidR="003C7A06" w:rsidRDefault="00000000">
      <w:r>
        <w:t>| Reprocessamento de uploads                         | Done – API `/api/upload/reprocess` funcionando</w:t>
      </w:r>
      <w:r>
        <w:t>【</w:t>
      </w:r>
      <w:r>
        <w:t>968914181712250†L76-L83</w:t>
      </w:r>
      <w:r>
        <w:t>】</w:t>
      </w:r>
      <w:r>
        <w:t xml:space="preserve">             | P0        |</w:t>
      </w:r>
    </w:p>
    <w:p w14:paraId="1036053D" w14:textId="77777777" w:rsidR="003C7A06" w:rsidRDefault="00000000">
      <w:r>
        <w:t>| Diagnóstico SUPHO/ITSMO (campanhas)                | Done, mas falta congelar pacote Core e regra de confiança</w:t>
      </w:r>
      <w:r>
        <w:t>【</w:t>
      </w:r>
      <w:r>
        <w:t>968914181712250†L170-L174</w:t>
      </w:r>
      <w:r>
        <w:t>】</w:t>
      </w:r>
      <w:r>
        <w:t>| P0        |</w:t>
      </w:r>
    </w:p>
    <w:p w14:paraId="0373B7ED" w14:textId="77777777" w:rsidR="003C7A06" w:rsidRDefault="00000000">
      <w:r>
        <w:t>| Alertas e relatórios agendados                     | Done – API e UI implantados</w:t>
      </w:r>
      <w:r>
        <w:t>【</w:t>
      </w:r>
      <w:r>
        <w:t>968914181712250†L85-L96</w:t>
      </w:r>
      <w:r>
        <w:t>】</w:t>
      </w:r>
      <w:r>
        <w:t xml:space="preserve">                                | P0        |</w:t>
      </w:r>
    </w:p>
    <w:p w14:paraId="0963AC82" w14:textId="77777777" w:rsidR="003C7A06" w:rsidRDefault="00000000">
      <w:r>
        <w:t>| Billing Stripe (checkout/webhook)                  | MVP implementado, falta definir tiers de preços</w:t>
      </w:r>
      <w:r>
        <w:t>【</w:t>
      </w:r>
      <w:r>
        <w:t>968914181712250†L107-L125</w:t>
      </w:r>
      <w:r>
        <w:t>】</w:t>
      </w:r>
      <w:r>
        <w:t xml:space="preserve">         | P1        |</w:t>
      </w:r>
    </w:p>
    <w:p w14:paraId="4FDDAD8D" w14:textId="77777777" w:rsidR="003C7A06" w:rsidRDefault="00000000">
      <w:r>
        <w:t>| Rituais + decisões + índice de ritmo               | MVP implementado, falta ligação ao PAIP</w:t>
      </w:r>
      <w:r>
        <w:t>【</w:t>
      </w:r>
      <w:r>
        <w:t>968914181712250†L125-L137</w:t>
      </w:r>
      <w:r>
        <w:t>】</w:t>
      </w:r>
      <w:r>
        <w:t xml:space="preserve">                  | P1        |</w:t>
      </w:r>
    </w:p>
    <w:p w14:paraId="0657C827" w14:textId="77777777" w:rsidR="003C7A06" w:rsidRDefault="00000000">
      <w:r>
        <w:t>| Base de conhecimento + IA para insights            | MVP – importação e IA básica; expandir automações e benchmarks                       | P1        |</w:t>
      </w:r>
    </w:p>
    <w:p w14:paraId="70A6300B" w14:textId="77777777" w:rsidR="003C7A06" w:rsidRDefault="00000000">
      <w:r>
        <w:t>| Painel de previsões (forecast/intervenções)        | MVP; modelos preditivos complexos são “nice‑to‑have”                                 | P2        |</w:t>
      </w:r>
    </w:p>
    <w:p w14:paraId="328E18D2" w14:textId="77777777" w:rsidR="003C7A06" w:rsidRDefault="00000000">
      <w:r>
        <w:t>| SSO/permissões avançadas                           | Não iniciado; necessário para enterprise                                            | P2        |</w:t>
      </w:r>
    </w:p>
    <w:p w14:paraId="105B0FAD" w14:textId="77777777" w:rsidR="003C7A06" w:rsidRDefault="00000000">
      <w:r>
        <w:t>| Certificação e marketplace de parceiros             | Não iniciado                                                                         | P3        |</w:t>
      </w:r>
    </w:p>
    <w:p w14:paraId="10751C18" w14:textId="77777777" w:rsidR="003C7A06" w:rsidRDefault="003C7A06"/>
    <w:p w14:paraId="77C379B1" w14:textId="77777777" w:rsidR="003C7A06" w:rsidRDefault="00000000">
      <w:r>
        <w:lastRenderedPageBreak/>
        <w:t>**P0**: indispensável para piloto; **P1**: necessário para comercialização pós‑piloto; **P2**: incrementos estratégicos; **P3**: longo prazo.</w:t>
      </w:r>
    </w:p>
    <w:p w14:paraId="21206540" w14:textId="77777777" w:rsidR="003C7A06" w:rsidRDefault="003C7A06"/>
    <w:p w14:paraId="72D91BF1" w14:textId="77777777" w:rsidR="003C7A06" w:rsidRDefault="00000000">
      <w:pPr>
        <w:pStyle w:val="Ttulo3"/>
      </w:pPr>
      <w:r>
        <w:t>5.2 Informações para o orçamento</w:t>
      </w:r>
    </w:p>
    <w:p w14:paraId="0E11E8A3" w14:textId="77777777" w:rsidR="003C7A06" w:rsidRDefault="003C7A06"/>
    <w:p w14:paraId="601660E5" w14:textId="21D3D29E" w:rsidR="003C7A06" w:rsidRDefault="00000000">
      <w:r>
        <w:t xml:space="preserve">Para pedir orçamento à software house, o briefing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incluir</w:t>
      </w:r>
      <w:proofErr w:type="spellEnd"/>
    </w:p>
    <w:p w14:paraId="55902D6C" w14:textId="77777777" w:rsidR="003C7A06" w:rsidRDefault="003C7A06"/>
    <w:p w14:paraId="172B6838" w14:textId="77777777" w:rsidR="003C7A06" w:rsidRDefault="00000000">
      <w:pPr>
        <w:pStyle w:val="Commarcadores"/>
      </w:pPr>
      <w:r>
        <w:t xml:space="preserve">Visão de produto e ICPs em uma página.  </w:t>
      </w:r>
    </w:p>
    <w:p w14:paraId="7749F9F7" w14:textId="77777777" w:rsidR="003C7A06" w:rsidRDefault="00000000">
      <w:pPr>
        <w:pStyle w:val="Commarcadores"/>
      </w:pPr>
      <w:r>
        <w:t xml:space="preserve">Lista de módulos com estado e prioridades (tabela acima).  </w:t>
      </w:r>
    </w:p>
    <w:p w14:paraId="6C077FD3" w14:textId="77777777" w:rsidR="003C7A06" w:rsidRDefault="00000000">
      <w:pPr>
        <w:pStyle w:val="Commarcadores"/>
      </w:pPr>
      <w:r>
        <w:t xml:space="preserve">Stack atual (Next.js/React/TS; Node.js; PostgreSQL; Inngest; Resend; Stripe).  </w:t>
      </w:r>
    </w:p>
    <w:p w14:paraId="76BFAEAC" w14:textId="77777777" w:rsidR="003C7A06" w:rsidRDefault="00000000">
      <w:pPr>
        <w:pStyle w:val="Commarcadores"/>
      </w:pPr>
      <w:r>
        <w:t xml:space="preserve">Arquitetura de alto nível (rotas principais, fluxos de dados e integração com IA).  </w:t>
      </w:r>
    </w:p>
    <w:p w14:paraId="329CE16A" w14:textId="77777777" w:rsidR="003C7A06" w:rsidRDefault="00000000">
      <w:pPr>
        <w:pStyle w:val="Commarcadores"/>
      </w:pPr>
      <w:r>
        <w:t xml:space="preserve">Requisitos não‑funcionais (segurança/LGPD, logs/monitoramento, performance).  </w:t>
      </w:r>
    </w:p>
    <w:p w14:paraId="47806CC2" w14:textId="77777777" w:rsidR="003C7A06" w:rsidRDefault="00000000">
      <w:pPr>
        <w:pStyle w:val="Commarcadores"/>
      </w:pPr>
      <w:r>
        <w:t>Volume esperado para pilotos (5–20 usuários, 100–300 colaboradores, 1–2 integrações e 1–3 unidades).</w:t>
      </w:r>
    </w:p>
    <w:p w14:paraId="24D932BC" w14:textId="77777777" w:rsidR="003C7A06" w:rsidRDefault="003C7A06"/>
    <w:p w14:paraId="3B7C0B1F" w14:textId="77777777" w:rsidR="003C7A06" w:rsidRDefault="00000000">
      <w:pPr>
        <w:pStyle w:val="Ttulo3"/>
      </w:pPr>
      <w:r>
        <w:t>5.3 Perguntas para a software house</w:t>
      </w:r>
    </w:p>
    <w:p w14:paraId="20C38047" w14:textId="77777777" w:rsidR="003C7A06" w:rsidRDefault="003C7A06"/>
    <w:p w14:paraId="071CD95F" w14:textId="77777777" w:rsidR="003C7A06" w:rsidRDefault="00000000">
      <w:r>
        <w:t>As questões listadas no documento (horas por módulo, riscos técnicos, dependências; SLA de suporte; testes automatizados, code review, deploy/rollback, observabilidade; modelo de governança; modelo de cobrança e reajustes) devem ser respondidas pela fábrica</w:t>
      </w:r>
      <w:r>
        <w:t>【</w:t>
      </w:r>
      <w:r>
        <w:t>244912267460948†L210-L224</w:t>
      </w:r>
      <w:r>
        <w:t>】</w:t>
      </w:r>
      <w:r>
        <w:t>. Estimamos que módulos P0 totalizam ~600 horas de desenvolvimento/testes; P1/P2 demandam 300–400 horas adicionais. O contrato ideal é por squad dedicado, revisado a cada sprint.</w:t>
      </w:r>
    </w:p>
    <w:p w14:paraId="78CBC01D" w14:textId="77777777" w:rsidR="003C7A06" w:rsidRDefault="003C7A06"/>
    <w:p w14:paraId="3B9617FD" w14:textId="77777777" w:rsidR="003C7A06" w:rsidRDefault="003C7A06"/>
    <w:p w14:paraId="08231DB4" w14:textId="77777777" w:rsidR="003C7A06" w:rsidRDefault="00000000">
      <w:pPr>
        <w:pStyle w:val="Ttulo2"/>
      </w:pPr>
      <w:r>
        <w:t>6 – Pilotos &amp; Scorecard (Doc 05)</w:t>
      </w:r>
    </w:p>
    <w:p w14:paraId="46373F3B" w14:textId="77777777" w:rsidR="003C7A06" w:rsidRDefault="003C7A06"/>
    <w:p w14:paraId="5081A727" w14:textId="77777777" w:rsidR="003C7A06" w:rsidRDefault="00000000">
      <w:pPr>
        <w:pStyle w:val="Ttulo3"/>
      </w:pPr>
      <w:r>
        <w:t>6.1 Métricas que o sistema já coleta</w:t>
      </w:r>
    </w:p>
    <w:p w14:paraId="18F67284" w14:textId="77777777" w:rsidR="003C7A06" w:rsidRDefault="003C7A06"/>
    <w:p w14:paraId="4193E248" w14:textId="77777777" w:rsidR="003C7A06" w:rsidRDefault="00000000">
      <w:r>
        <w:t>O sistema consegue calcular automaticamente:</w:t>
      </w:r>
    </w:p>
    <w:p w14:paraId="615CC410" w14:textId="77777777" w:rsidR="003C7A06" w:rsidRDefault="003C7A06"/>
    <w:p w14:paraId="3EDA86D5" w14:textId="77777777" w:rsidR="003C7A06" w:rsidRDefault="00000000">
      <w:pPr>
        <w:pStyle w:val="Commarcadores"/>
      </w:pPr>
      <w:r>
        <w:lastRenderedPageBreak/>
        <w:t xml:space="preserve">**Time‑to‑value:** intervalo entre o primeiro upload/integração e o primeiro insight gerado – armazenado no backend (Inngest/Jobs).  </w:t>
      </w:r>
    </w:p>
    <w:p w14:paraId="60737E3B" w14:textId="77777777" w:rsidR="003C7A06" w:rsidRDefault="00000000">
      <w:pPr>
        <w:pStyle w:val="Commarcadores"/>
      </w:pPr>
      <w:r>
        <w:t xml:space="preserve">**Adoção:** usuários ativos por semana, pois logins e acessos são registrados.  </w:t>
      </w:r>
    </w:p>
    <w:p w14:paraId="49BE8A01" w14:textId="77777777" w:rsidR="003C7A06" w:rsidRDefault="00000000">
      <w:pPr>
        <w:pStyle w:val="Commarcadores"/>
      </w:pPr>
      <w:r>
        <w:t xml:space="preserve">**Diagnóstico:** taxa de resposta por colaborador é calculada nas campanhas.  </w:t>
      </w:r>
    </w:p>
    <w:p w14:paraId="2DC129C6" w14:textId="77777777" w:rsidR="003C7A06" w:rsidRDefault="00000000">
      <w:pPr>
        <w:pStyle w:val="Commarcadores"/>
      </w:pPr>
      <w:r>
        <w:t xml:space="preserve">**Dados:** porcentagem de oportunidades com próximo passo (campo *next step* do CRM).  </w:t>
      </w:r>
    </w:p>
    <w:p w14:paraId="666C4980" w14:textId="77777777" w:rsidR="003C7A06" w:rsidRDefault="00000000">
      <w:pPr>
        <w:pStyle w:val="Commarcadores"/>
      </w:pPr>
      <w:r>
        <w:t xml:space="preserve">**Rituais:** número de ocorrências e decisões registradas mensalmente através da API de rituais.  </w:t>
      </w:r>
    </w:p>
    <w:p w14:paraId="634C92A8" w14:textId="77777777" w:rsidR="003C7A06" w:rsidRDefault="003C7A06"/>
    <w:p w14:paraId="0BA32B19" w14:textId="77777777" w:rsidR="003C7A06" w:rsidRDefault="00000000">
      <w:pPr>
        <w:pStyle w:val="Ttulo3"/>
      </w:pPr>
      <w:r>
        <w:t>6.2 Métricas que precisam instrumentação</w:t>
      </w:r>
    </w:p>
    <w:p w14:paraId="0DB91F6C" w14:textId="77777777" w:rsidR="003C7A06" w:rsidRDefault="003C7A06"/>
    <w:p w14:paraId="11F734B3" w14:textId="77777777" w:rsidR="003C7A06" w:rsidRDefault="00000000">
      <w:pPr>
        <w:pStyle w:val="Commarcadores"/>
      </w:pPr>
      <w:r>
        <w:t>**Baseline:** registrar ITSMO, pipeline coverage, ciclo de vendas e fricções antes do piloto, para comparar depois</w:t>
      </w:r>
      <w:r>
        <w:t>【</w:t>
      </w:r>
      <w:r>
        <w:t>244912267460948†L240-L264</w:t>
      </w:r>
      <w:r>
        <w:t>】</w:t>
      </w:r>
      <w:r>
        <w:t xml:space="preserve">.  </w:t>
      </w:r>
    </w:p>
    <w:p w14:paraId="53AD6EEC" w14:textId="77777777" w:rsidR="003C7A06" w:rsidRDefault="00000000">
      <w:pPr>
        <w:pStyle w:val="Commarcadores"/>
      </w:pPr>
      <w:r>
        <w:t xml:space="preserve">**Redução de fricções:** criar indicadores por fricção (ex.: número de deals estagnados) e monitorar variação semanal.  </w:t>
      </w:r>
    </w:p>
    <w:p w14:paraId="3F8540E8" w14:textId="77777777" w:rsidR="003C7A06" w:rsidRDefault="00000000">
      <w:pPr>
        <w:pStyle w:val="Commarcadores"/>
      </w:pPr>
      <w:r>
        <w:t>**Decisões executadas:** vincular cada decisão a uma ação no PAIP, registrando datas de conclusão, para medir impacto e execução.</w:t>
      </w:r>
    </w:p>
    <w:p w14:paraId="7617D0B5" w14:textId="77777777" w:rsidR="003C7A06" w:rsidRDefault="003C7A06"/>
    <w:p w14:paraId="0AAE9416" w14:textId="77777777" w:rsidR="003C7A06" w:rsidRDefault="003C7A06"/>
    <w:p w14:paraId="2B5EF1D9" w14:textId="5643AEEB" w:rsidR="003C7A06" w:rsidRDefault="003C7A06"/>
    <w:sectPr w:rsidR="003C7A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4084205">
    <w:abstractNumId w:val="8"/>
  </w:num>
  <w:num w:numId="2" w16cid:durableId="589437367">
    <w:abstractNumId w:val="6"/>
  </w:num>
  <w:num w:numId="3" w16cid:durableId="311106121">
    <w:abstractNumId w:val="5"/>
  </w:num>
  <w:num w:numId="4" w16cid:durableId="2059355555">
    <w:abstractNumId w:val="4"/>
  </w:num>
  <w:num w:numId="5" w16cid:durableId="723332984">
    <w:abstractNumId w:val="7"/>
  </w:num>
  <w:num w:numId="6" w16cid:durableId="527719148">
    <w:abstractNumId w:val="3"/>
  </w:num>
  <w:num w:numId="7" w16cid:durableId="1627815588">
    <w:abstractNumId w:val="2"/>
  </w:num>
  <w:num w:numId="8" w16cid:durableId="1756592949">
    <w:abstractNumId w:val="1"/>
  </w:num>
  <w:num w:numId="9" w16cid:durableId="1503620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7A06"/>
    <w:rsid w:val="004864E3"/>
    <w:rsid w:val="00A358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19022"/>
  <w14:defaultImageDpi w14:val="300"/>
  <w15:docId w15:val="{F9339B77-F683-8A49-A8E9-D79B00BAC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1845</Words>
  <Characters>10904</Characters>
  <Application>Microsoft Office Word</Application>
  <DocSecurity>0</DocSecurity>
  <Lines>279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Nogueira</cp:lastModifiedBy>
  <cp:revision>2</cp:revision>
  <dcterms:created xsi:type="dcterms:W3CDTF">2026-03-23T13:12:00Z</dcterms:created>
  <dcterms:modified xsi:type="dcterms:W3CDTF">2026-03-23T13:12:00Z</dcterms:modified>
  <cp:category/>
</cp:coreProperties>
</file>