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4E9D8" w14:textId="5818DCC4" w:rsidR="00AA1CF8" w:rsidRDefault="00B71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Análise</w:t>
      </w:r>
      <w:r w:rsidR="00E052C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histórica</w:t>
      </w:r>
      <w:r w:rsidR="00E052CA">
        <w:rPr>
          <w:rFonts w:ascii="Arial" w:hAnsi="Arial" w:cs="Arial"/>
          <w:sz w:val="28"/>
          <w:szCs w:val="28"/>
        </w:rPr>
        <w:t xml:space="preserve"> do IPCA – Últimos 20 anos </w:t>
      </w:r>
    </w:p>
    <w:p w14:paraId="4096C68B" w14:textId="77777777" w:rsidR="00E052CA" w:rsidRDefault="00E052CA">
      <w:pPr>
        <w:rPr>
          <w:rFonts w:ascii="Arial" w:hAnsi="Arial" w:cs="Arial"/>
          <w:sz w:val="24"/>
          <w:szCs w:val="24"/>
        </w:rPr>
      </w:pPr>
    </w:p>
    <w:p w14:paraId="3693CF9F" w14:textId="2C93ACB7" w:rsidR="00E052CA" w:rsidRDefault="00E052CA" w:rsidP="00E052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B71BFA">
        <w:rPr>
          <w:rFonts w:ascii="Arial" w:hAnsi="Arial" w:cs="Arial"/>
          <w:sz w:val="24"/>
          <w:szCs w:val="24"/>
        </w:rPr>
        <w:t>relatório</w:t>
      </w:r>
      <w:r>
        <w:rPr>
          <w:rFonts w:ascii="Arial" w:hAnsi="Arial" w:cs="Arial"/>
          <w:sz w:val="24"/>
          <w:szCs w:val="24"/>
        </w:rPr>
        <w:t xml:space="preserve"> tem o objetivo de apresentar insights relevantes a partir da </w:t>
      </w:r>
      <w:r w:rsidR="00B71BFA">
        <w:rPr>
          <w:rFonts w:ascii="Arial" w:hAnsi="Arial" w:cs="Arial"/>
          <w:sz w:val="24"/>
          <w:szCs w:val="24"/>
        </w:rPr>
        <w:t>análise</w:t>
      </w:r>
      <w:r>
        <w:rPr>
          <w:rFonts w:ascii="Arial" w:hAnsi="Arial" w:cs="Arial"/>
          <w:sz w:val="24"/>
          <w:szCs w:val="24"/>
        </w:rPr>
        <w:t xml:space="preserve"> </w:t>
      </w:r>
      <w:r w:rsidR="00B71BFA">
        <w:rPr>
          <w:rFonts w:ascii="Arial" w:hAnsi="Arial" w:cs="Arial"/>
          <w:sz w:val="24"/>
          <w:szCs w:val="24"/>
        </w:rPr>
        <w:t>histórica</w:t>
      </w:r>
      <w:r>
        <w:rPr>
          <w:rFonts w:ascii="Arial" w:hAnsi="Arial" w:cs="Arial"/>
          <w:sz w:val="24"/>
          <w:szCs w:val="24"/>
        </w:rPr>
        <w:t xml:space="preserve"> do IPCA (Índice Nacional de Preços ao Consumidor Amplo), visando apoiar na antecipação de </w:t>
      </w:r>
      <w:r w:rsidR="00B71BFA">
        <w:rPr>
          <w:rFonts w:ascii="Arial" w:hAnsi="Arial" w:cs="Arial"/>
          <w:sz w:val="24"/>
          <w:szCs w:val="24"/>
        </w:rPr>
        <w:t>cenários</w:t>
      </w:r>
      <w:r>
        <w:rPr>
          <w:rFonts w:ascii="Arial" w:hAnsi="Arial" w:cs="Arial"/>
          <w:sz w:val="24"/>
          <w:szCs w:val="24"/>
        </w:rPr>
        <w:t xml:space="preserve"> </w:t>
      </w:r>
      <w:r w:rsidR="00B71BFA">
        <w:rPr>
          <w:rFonts w:ascii="Arial" w:hAnsi="Arial" w:cs="Arial"/>
          <w:sz w:val="24"/>
          <w:szCs w:val="24"/>
        </w:rPr>
        <w:t>econômicos</w:t>
      </w:r>
      <w:r>
        <w:rPr>
          <w:rFonts w:ascii="Arial" w:hAnsi="Arial" w:cs="Arial"/>
          <w:sz w:val="24"/>
          <w:szCs w:val="24"/>
        </w:rPr>
        <w:t>, aprimora</w:t>
      </w:r>
      <w:r w:rsidR="00B71BF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 gestão de risco e </w:t>
      </w:r>
      <w:r w:rsidR="00B71BFA">
        <w:rPr>
          <w:rFonts w:ascii="Arial" w:hAnsi="Arial" w:cs="Arial"/>
          <w:sz w:val="24"/>
          <w:szCs w:val="24"/>
        </w:rPr>
        <w:t>contribuir para</w:t>
      </w:r>
      <w:r>
        <w:rPr>
          <w:rFonts w:ascii="Arial" w:hAnsi="Arial" w:cs="Arial"/>
          <w:sz w:val="24"/>
          <w:szCs w:val="24"/>
        </w:rPr>
        <w:t xml:space="preserve"> a melhoria de </w:t>
      </w:r>
      <w:r w:rsidR="00B71BFA">
        <w:rPr>
          <w:rFonts w:ascii="Arial" w:hAnsi="Arial" w:cs="Arial"/>
          <w:sz w:val="24"/>
          <w:szCs w:val="24"/>
        </w:rPr>
        <w:t>estratégias</w:t>
      </w:r>
      <w:r>
        <w:rPr>
          <w:rFonts w:ascii="Arial" w:hAnsi="Arial" w:cs="Arial"/>
          <w:sz w:val="24"/>
          <w:szCs w:val="24"/>
        </w:rPr>
        <w:t xml:space="preserve"> comerciais.</w:t>
      </w:r>
    </w:p>
    <w:p w14:paraId="3786C26F" w14:textId="77777777" w:rsidR="00E052CA" w:rsidRDefault="00E052CA" w:rsidP="00E052CA">
      <w:pPr>
        <w:jc w:val="both"/>
        <w:rPr>
          <w:rFonts w:ascii="Arial" w:hAnsi="Arial" w:cs="Arial"/>
          <w:sz w:val="24"/>
          <w:szCs w:val="24"/>
        </w:rPr>
      </w:pPr>
    </w:p>
    <w:p w14:paraId="2836C692" w14:textId="5012225B" w:rsidR="00E052CA" w:rsidRDefault="00B71BFA" w:rsidP="00E052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E052CA">
        <w:rPr>
          <w:rFonts w:ascii="Arial" w:hAnsi="Arial" w:cs="Arial"/>
          <w:sz w:val="24"/>
          <w:szCs w:val="24"/>
        </w:rPr>
        <w:t>bserva</w:t>
      </w:r>
      <w:r>
        <w:rPr>
          <w:rFonts w:ascii="Arial" w:hAnsi="Arial" w:cs="Arial"/>
          <w:sz w:val="24"/>
          <w:szCs w:val="24"/>
        </w:rPr>
        <w:t>-se</w:t>
      </w:r>
      <w:r w:rsidR="00E052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</w:t>
      </w:r>
      <w:r w:rsidR="00E052CA">
        <w:rPr>
          <w:rFonts w:ascii="Arial" w:hAnsi="Arial" w:cs="Arial"/>
          <w:sz w:val="24"/>
          <w:szCs w:val="24"/>
        </w:rPr>
        <w:t xml:space="preserve">a grande variação do IPCA ao longo dos últimos 20 anos, com pico em 2011 (8,67%) e </w:t>
      </w:r>
      <w:r>
        <w:rPr>
          <w:rFonts w:ascii="Arial" w:hAnsi="Arial" w:cs="Arial"/>
          <w:sz w:val="24"/>
          <w:szCs w:val="24"/>
        </w:rPr>
        <w:t>mínima</w:t>
      </w:r>
      <w:r w:rsidR="00E052CA">
        <w:rPr>
          <w:rFonts w:ascii="Arial" w:hAnsi="Arial" w:cs="Arial"/>
          <w:sz w:val="24"/>
          <w:szCs w:val="24"/>
        </w:rPr>
        <w:t xml:space="preserve"> em 2025 (1,60%).</w:t>
      </w:r>
      <w:r w:rsidR="005C38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Períodos</w:t>
      </w:r>
      <w:r w:rsidR="005C38D4">
        <w:rPr>
          <w:rFonts w:ascii="Arial" w:hAnsi="Arial" w:cs="Arial"/>
          <w:sz w:val="24"/>
          <w:szCs w:val="24"/>
        </w:rPr>
        <w:t xml:space="preserve"> de IPCA baixo como entre 2020 a 2025, representam um </w:t>
      </w:r>
      <w:r>
        <w:rPr>
          <w:rFonts w:ascii="Arial" w:hAnsi="Arial" w:cs="Arial"/>
          <w:sz w:val="24"/>
          <w:szCs w:val="24"/>
        </w:rPr>
        <w:t>cenário</w:t>
      </w:r>
      <w:r w:rsidR="005C38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favorável</w:t>
      </w:r>
      <w:r w:rsidR="005C38D4">
        <w:rPr>
          <w:rFonts w:ascii="Arial" w:hAnsi="Arial" w:cs="Arial"/>
          <w:sz w:val="24"/>
          <w:szCs w:val="24"/>
        </w:rPr>
        <w:t xml:space="preserve"> ao consumo. </w:t>
      </w:r>
    </w:p>
    <w:p w14:paraId="54B1F4A8" w14:textId="6164D2DF" w:rsidR="005C38D4" w:rsidRDefault="005C38D4" w:rsidP="00E052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analisar a serie </w:t>
      </w:r>
      <w:r w:rsidR="00B71BFA">
        <w:rPr>
          <w:rFonts w:ascii="Arial" w:hAnsi="Arial" w:cs="Arial"/>
          <w:sz w:val="24"/>
          <w:szCs w:val="24"/>
        </w:rPr>
        <w:t>histórica</w:t>
      </w:r>
      <w:r>
        <w:rPr>
          <w:rFonts w:ascii="Arial" w:hAnsi="Arial" w:cs="Arial"/>
          <w:sz w:val="24"/>
          <w:szCs w:val="24"/>
        </w:rPr>
        <w:t xml:space="preserve"> </w:t>
      </w:r>
      <w:r w:rsidR="00B71BFA">
        <w:rPr>
          <w:rFonts w:ascii="Arial" w:hAnsi="Arial" w:cs="Arial"/>
          <w:sz w:val="24"/>
          <w:szCs w:val="24"/>
        </w:rPr>
        <w:t>nota-se</w:t>
      </w:r>
      <w:r>
        <w:rPr>
          <w:rFonts w:ascii="Arial" w:hAnsi="Arial" w:cs="Arial"/>
          <w:sz w:val="24"/>
          <w:szCs w:val="24"/>
        </w:rPr>
        <w:t xml:space="preserve"> grande variações </w:t>
      </w:r>
      <w:r w:rsidR="00B71BFA">
        <w:rPr>
          <w:rFonts w:ascii="Arial" w:hAnsi="Arial" w:cs="Arial"/>
          <w:sz w:val="24"/>
          <w:szCs w:val="24"/>
        </w:rPr>
        <w:t xml:space="preserve">de um </w:t>
      </w:r>
      <w:r>
        <w:rPr>
          <w:rFonts w:ascii="Arial" w:hAnsi="Arial" w:cs="Arial"/>
          <w:sz w:val="24"/>
          <w:szCs w:val="24"/>
        </w:rPr>
        <w:t xml:space="preserve">ano </w:t>
      </w:r>
      <w:r w:rsidR="00B71BFA">
        <w:rPr>
          <w:rFonts w:ascii="Arial" w:hAnsi="Arial" w:cs="Arial"/>
          <w:sz w:val="24"/>
          <w:szCs w:val="24"/>
        </w:rPr>
        <w:t xml:space="preserve">para o outro, </w:t>
      </w:r>
      <w:r>
        <w:rPr>
          <w:rFonts w:ascii="Arial" w:hAnsi="Arial" w:cs="Arial"/>
          <w:sz w:val="24"/>
          <w:szCs w:val="24"/>
        </w:rPr>
        <w:t xml:space="preserve">como, por exemplo, a queda de 3,05 p.p em 2025 em relação a 2024, com uma média dos </w:t>
      </w:r>
      <w:r w:rsidR="00B71BFA">
        <w:rPr>
          <w:rFonts w:ascii="Arial" w:hAnsi="Arial" w:cs="Arial"/>
          <w:sz w:val="24"/>
          <w:szCs w:val="24"/>
        </w:rPr>
        <w:t>últimos</w:t>
      </w:r>
      <w:r>
        <w:rPr>
          <w:rFonts w:ascii="Arial" w:hAnsi="Arial" w:cs="Arial"/>
          <w:sz w:val="24"/>
          <w:szCs w:val="24"/>
        </w:rPr>
        <w:t xml:space="preserve"> 5 anos, </w:t>
      </w:r>
      <w:r w:rsidR="00B71BFA">
        <w:rPr>
          <w:rFonts w:ascii="Arial" w:hAnsi="Arial" w:cs="Arial"/>
          <w:sz w:val="24"/>
          <w:szCs w:val="24"/>
        </w:rPr>
        <w:t>desconsiderando</w:t>
      </w:r>
      <w:r>
        <w:rPr>
          <w:rFonts w:ascii="Arial" w:hAnsi="Arial" w:cs="Arial"/>
          <w:sz w:val="24"/>
          <w:szCs w:val="24"/>
        </w:rPr>
        <w:t xml:space="preserve"> o </w:t>
      </w:r>
      <w:r w:rsidR="00B71BFA">
        <w:rPr>
          <w:rFonts w:ascii="Arial" w:hAnsi="Arial" w:cs="Arial"/>
          <w:sz w:val="24"/>
          <w:szCs w:val="24"/>
        </w:rPr>
        <w:t>período</w:t>
      </w:r>
      <w:r>
        <w:rPr>
          <w:rFonts w:ascii="Arial" w:hAnsi="Arial" w:cs="Arial"/>
          <w:sz w:val="24"/>
          <w:szCs w:val="24"/>
        </w:rPr>
        <w:t xml:space="preserve"> de pandemia (2020 e 2021), </w:t>
      </w:r>
      <w:r w:rsidR="00B71BFA">
        <w:rPr>
          <w:rFonts w:ascii="Arial" w:hAnsi="Arial" w:cs="Arial"/>
          <w:sz w:val="24"/>
          <w:szCs w:val="24"/>
        </w:rPr>
        <w:t xml:space="preserve">foi </w:t>
      </w:r>
      <w:r>
        <w:rPr>
          <w:rFonts w:ascii="Arial" w:hAnsi="Arial" w:cs="Arial"/>
          <w:sz w:val="24"/>
          <w:szCs w:val="24"/>
        </w:rPr>
        <w:t>de 4,91%.</w:t>
      </w:r>
    </w:p>
    <w:p w14:paraId="2EFC45AA" w14:textId="77777777" w:rsidR="005C38D4" w:rsidRDefault="005C38D4" w:rsidP="00E052CA">
      <w:pPr>
        <w:jc w:val="both"/>
        <w:rPr>
          <w:rFonts w:ascii="Arial" w:hAnsi="Arial" w:cs="Arial"/>
          <w:sz w:val="24"/>
          <w:szCs w:val="24"/>
        </w:rPr>
      </w:pPr>
    </w:p>
    <w:p w14:paraId="453A20B4" w14:textId="21F4B364" w:rsidR="005C38D4" w:rsidRDefault="005C38D4" w:rsidP="00E052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 recomendamos</w:t>
      </w:r>
      <w:r w:rsidR="00B71BFA">
        <w:rPr>
          <w:rFonts w:ascii="Arial" w:hAnsi="Arial" w:cs="Arial"/>
          <w:sz w:val="24"/>
          <w:szCs w:val="24"/>
        </w:rPr>
        <w:t>: R</w:t>
      </w:r>
      <w:r>
        <w:rPr>
          <w:rFonts w:ascii="Arial" w:hAnsi="Arial" w:cs="Arial"/>
          <w:sz w:val="24"/>
          <w:szCs w:val="24"/>
        </w:rPr>
        <w:t xml:space="preserve">evisar </w:t>
      </w:r>
      <w:r w:rsidR="00B71BFA">
        <w:rPr>
          <w:rFonts w:ascii="Arial" w:hAnsi="Arial" w:cs="Arial"/>
          <w:sz w:val="24"/>
          <w:szCs w:val="24"/>
        </w:rPr>
        <w:t>políticas</w:t>
      </w:r>
      <w:r>
        <w:rPr>
          <w:rFonts w:ascii="Arial" w:hAnsi="Arial" w:cs="Arial"/>
          <w:sz w:val="24"/>
          <w:szCs w:val="24"/>
        </w:rPr>
        <w:t xml:space="preserve"> de </w:t>
      </w:r>
      <w:r w:rsidR="00CC533B">
        <w:rPr>
          <w:rFonts w:ascii="Arial" w:hAnsi="Arial" w:cs="Arial"/>
          <w:sz w:val="24"/>
          <w:szCs w:val="24"/>
        </w:rPr>
        <w:t>crédito</w:t>
      </w:r>
      <w:r>
        <w:rPr>
          <w:rFonts w:ascii="Arial" w:hAnsi="Arial" w:cs="Arial"/>
          <w:sz w:val="24"/>
          <w:szCs w:val="24"/>
        </w:rPr>
        <w:t xml:space="preserve"> e taxa de juros com ajustes </w:t>
      </w:r>
      <w:r w:rsidR="00B71BFA">
        <w:rPr>
          <w:rFonts w:ascii="Arial" w:hAnsi="Arial" w:cs="Arial"/>
          <w:sz w:val="24"/>
          <w:szCs w:val="24"/>
        </w:rPr>
        <w:t>ágeis</w:t>
      </w:r>
      <w:r>
        <w:rPr>
          <w:rFonts w:ascii="Arial" w:hAnsi="Arial" w:cs="Arial"/>
          <w:sz w:val="24"/>
          <w:szCs w:val="24"/>
        </w:rPr>
        <w:t xml:space="preserve"> para evitar perdas </w:t>
      </w:r>
      <w:r w:rsidR="00B71BFA">
        <w:rPr>
          <w:rFonts w:ascii="Arial" w:hAnsi="Arial" w:cs="Arial"/>
          <w:sz w:val="24"/>
          <w:szCs w:val="24"/>
        </w:rPr>
        <w:t>financeiras;</w:t>
      </w:r>
      <w:r>
        <w:rPr>
          <w:rFonts w:ascii="Arial" w:hAnsi="Arial" w:cs="Arial"/>
          <w:sz w:val="24"/>
          <w:szCs w:val="24"/>
        </w:rPr>
        <w:t xml:space="preserve"> </w:t>
      </w:r>
      <w:r w:rsidR="00B71BFA">
        <w:rPr>
          <w:rFonts w:ascii="Arial" w:hAnsi="Arial" w:cs="Arial"/>
          <w:sz w:val="24"/>
          <w:szCs w:val="24"/>
        </w:rPr>
        <w:t>Intensificar</w:t>
      </w:r>
      <w:r>
        <w:rPr>
          <w:rFonts w:ascii="Arial" w:hAnsi="Arial" w:cs="Arial"/>
          <w:sz w:val="24"/>
          <w:szCs w:val="24"/>
        </w:rPr>
        <w:t xml:space="preserve"> </w:t>
      </w:r>
      <w:r w:rsidR="00B71BFA">
        <w:rPr>
          <w:rFonts w:ascii="Arial" w:hAnsi="Arial" w:cs="Arial"/>
          <w:sz w:val="24"/>
          <w:szCs w:val="24"/>
        </w:rPr>
        <w:t>política</w:t>
      </w:r>
      <w:r>
        <w:rPr>
          <w:rFonts w:ascii="Arial" w:hAnsi="Arial" w:cs="Arial"/>
          <w:sz w:val="24"/>
          <w:szCs w:val="24"/>
        </w:rPr>
        <w:t xml:space="preserve"> de </w:t>
      </w:r>
      <w:r w:rsidR="00CC533B">
        <w:rPr>
          <w:rFonts w:ascii="Arial" w:hAnsi="Arial" w:cs="Arial"/>
          <w:sz w:val="24"/>
          <w:szCs w:val="24"/>
        </w:rPr>
        <w:t>crédito</w:t>
      </w:r>
      <w:r>
        <w:rPr>
          <w:rFonts w:ascii="Arial" w:hAnsi="Arial" w:cs="Arial"/>
          <w:sz w:val="24"/>
          <w:szCs w:val="24"/>
        </w:rPr>
        <w:t xml:space="preserve">, </w:t>
      </w:r>
      <w:r w:rsidR="00B71BFA">
        <w:rPr>
          <w:rFonts w:ascii="Arial" w:hAnsi="Arial" w:cs="Arial"/>
          <w:sz w:val="24"/>
          <w:szCs w:val="24"/>
        </w:rPr>
        <w:t>consorcio</w:t>
      </w:r>
      <w:r>
        <w:rPr>
          <w:rFonts w:ascii="Arial" w:hAnsi="Arial" w:cs="Arial"/>
          <w:sz w:val="24"/>
          <w:szCs w:val="24"/>
        </w:rPr>
        <w:t xml:space="preserve"> e financiamento nos </w:t>
      </w:r>
      <w:r w:rsidR="00B71BFA">
        <w:rPr>
          <w:rFonts w:ascii="Arial" w:hAnsi="Arial" w:cs="Arial"/>
          <w:sz w:val="24"/>
          <w:szCs w:val="24"/>
        </w:rPr>
        <w:t>períodos</w:t>
      </w:r>
      <w:r>
        <w:rPr>
          <w:rFonts w:ascii="Arial" w:hAnsi="Arial" w:cs="Arial"/>
          <w:sz w:val="24"/>
          <w:szCs w:val="24"/>
        </w:rPr>
        <w:t xml:space="preserve"> de baixa do IPCA, além de </w:t>
      </w:r>
      <w:r w:rsidR="00B71BFA">
        <w:rPr>
          <w:rFonts w:ascii="Arial" w:hAnsi="Arial" w:cs="Arial"/>
          <w:sz w:val="24"/>
          <w:szCs w:val="24"/>
        </w:rPr>
        <w:t>incentivar</w:t>
      </w:r>
      <w:r>
        <w:rPr>
          <w:rFonts w:ascii="Arial" w:hAnsi="Arial" w:cs="Arial"/>
          <w:sz w:val="24"/>
          <w:szCs w:val="24"/>
        </w:rPr>
        <w:t xml:space="preserve"> a negociação de </w:t>
      </w:r>
      <w:r w:rsidR="000204FF">
        <w:rPr>
          <w:rFonts w:ascii="Arial" w:hAnsi="Arial" w:cs="Arial"/>
          <w:sz w:val="24"/>
          <w:szCs w:val="24"/>
        </w:rPr>
        <w:t>dívidas</w:t>
      </w:r>
      <w:r w:rsidR="00B71BFA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Ampliar a comunicação e oferta de produtos atrelados ao IPCA </w:t>
      </w:r>
      <w:r w:rsidR="00B71BFA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</w:t>
      </w:r>
      <w:r w:rsidR="00B71BFA">
        <w:rPr>
          <w:rFonts w:ascii="Arial" w:hAnsi="Arial" w:cs="Arial"/>
          <w:sz w:val="24"/>
          <w:szCs w:val="24"/>
        </w:rPr>
        <w:t>períodos</w:t>
      </w:r>
      <w:r>
        <w:rPr>
          <w:rFonts w:ascii="Arial" w:hAnsi="Arial" w:cs="Arial"/>
          <w:sz w:val="24"/>
          <w:szCs w:val="24"/>
        </w:rPr>
        <w:t xml:space="preserve"> de alta e produtos de renda fixa </w:t>
      </w:r>
      <w:r w:rsidR="00B71BFA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</w:t>
      </w:r>
      <w:r w:rsidR="00B71BFA">
        <w:rPr>
          <w:rFonts w:ascii="Arial" w:hAnsi="Arial" w:cs="Arial"/>
          <w:sz w:val="24"/>
          <w:szCs w:val="24"/>
        </w:rPr>
        <w:t>períodos</w:t>
      </w:r>
      <w:r>
        <w:rPr>
          <w:rFonts w:ascii="Arial" w:hAnsi="Arial" w:cs="Arial"/>
          <w:sz w:val="24"/>
          <w:szCs w:val="24"/>
        </w:rPr>
        <w:t xml:space="preserve"> de baixa</w:t>
      </w:r>
      <w:r w:rsidR="00B71BFA">
        <w:rPr>
          <w:rFonts w:ascii="Arial" w:hAnsi="Arial" w:cs="Arial"/>
          <w:sz w:val="24"/>
          <w:szCs w:val="24"/>
        </w:rPr>
        <w:t>; Utilizar o</w:t>
      </w:r>
      <w:r>
        <w:rPr>
          <w:rFonts w:ascii="Arial" w:hAnsi="Arial" w:cs="Arial"/>
          <w:sz w:val="24"/>
          <w:szCs w:val="24"/>
        </w:rPr>
        <w:t xml:space="preserve"> IPCA como base para previsões internas, metas e </w:t>
      </w:r>
      <w:r w:rsidR="00B71BFA">
        <w:rPr>
          <w:rFonts w:ascii="Arial" w:hAnsi="Arial" w:cs="Arial"/>
          <w:sz w:val="24"/>
          <w:szCs w:val="24"/>
        </w:rPr>
        <w:t>estratégias</w:t>
      </w:r>
      <w:r>
        <w:rPr>
          <w:rFonts w:ascii="Arial" w:hAnsi="Arial" w:cs="Arial"/>
          <w:sz w:val="24"/>
          <w:szCs w:val="24"/>
        </w:rPr>
        <w:t xml:space="preserve"> para produtos.</w:t>
      </w:r>
    </w:p>
    <w:p w14:paraId="1C3D448F" w14:textId="77777777" w:rsidR="005C38D4" w:rsidRDefault="005C38D4" w:rsidP="00E052CA">
      <w:pPr>
        <w:jc w:val="both"/>
        <w:rPr>
          <w:rFonts w:ascii="Arial" w:hAnsi="Arial" w:cs="Arial"/>
          <w:sz w:val="24"/>
          <w:szCs w:val="24"/>
        </w:rPr>
      </w:pPr>
    </w:p>
    <w:p w14:paraId="2B4A21AD" w14:textId="3973A319" w:rsidR="005C38D4" w:rsidRPr="00E052CA" w:rsidRDefault="00B71BFA" w:rsidP="00E052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em anos de IPCA elevado, deve-se reforçar a comunicação com clientes para a proteção patrimonial e investimentos mais conservadores. Já em anos de baixa, a comunicação deve estimular o consumo e ao uso de crédito consciente, prevenindo situações de inadimplência.</w:t>
      </w:r>
    </w:p>
    <w:sectPr w:rsidR="005C38D4" w:rsidRPr="00E05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5A"/>
    <w:rsid w:val="000204FF"/>
    <w:rsid w:val="00317C5A"/>
    <w:rsid w:val="005C38D4"/>
    <w:rsid w:val="00776BA7"/>
    <w:rsid w:val="007D0870"/>
    <w:rsid w:val="009F5F58"/>
    <w:rsid w:val="00AA1CF8"/>
    <w:rsid w:val="00B71BFA"/>
    <w:rsid w:val="00CC533B"/>
    <w:rsid w:val="00E052CA"/>
    <w:rsid w:val="00F61337"/>
    <w:rsid w:val="00FA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57E0"/>
  <w15:chartTrackingRefBased/>
  <w15:docId w15:val="{84824EA9-610D-4991-8AE5-1E65F1E6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7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7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7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7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7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7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7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7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7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7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7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7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7C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7C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7C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7C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7C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7C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7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7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7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7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7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7C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7C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7C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7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7C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7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Ariza Velasco</dc:creator>
  <cp:keywords/>
  <dc:description/>
  <cp:lastModifiedBy>Bruno Ariza Velasco</cp:lastModifiedBy>
  <cp:revision>5</cp:revision>
  <dcterms:created xsi:type="dcterms:W3CDTF">2025-03-23T19:06:00Z</dcterms:created>
  <dcterms:modified xsi:type="dcterms:W3CDTF">2025-03-23T19:48:00Z</dcterms:modified>
</cp:coreProperties>
</file>