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5C24" w14:textId="3513339F" w:rsidR="006625B6" w:rsidRDefault="00085A1D">
      <w:r>
        <w:t>Diagrama de classe – visibilidade</w:t>
      </w:r>
    </w:p>
    <w:p w14:paraId="7D5DC9FE" w14:textId="28331C2C" w:rsidR="00085A1D" w:rsidRDefault="00085A1D">
      <w:r>
        <w:rPr>
          <w:noProof/>
        </w:rPr>
        <w:drawing>
          <wp:inline distT="0" distB="0" distL="0" distR="0" wp14:anchorId="62C7A39C" wp14:editId="03344050">
            <wp:extent cx="4705350" cy="2533650"/>
            <wp:effectExtent l="19050" t="19050" r="19050" b="19050"/>
            <wp:docPr id="1245028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93DC5" w14:textId="6090FE79" w:rsidR="00085A1D" w:rsidRDefault="00085A1D">
      <w:proofErr w:type="spellStart"/>
      <w:r>
        <w:t>StarUML</w:t>
      </w:r>
      <w:proofErr w:type="spellEnd"/>
      <w:r>
        <w:t xml:space="preserve"> -&gt; Atalho: </w:t>
      </w:r>
      <w:proofErr w:type="spellStart"/>
      <w:r>
        <w:t>Ctrol</w:t>
      </w:r>
      <w:proofErr w:type="spellEnd"/>
      <w:r>
        <w:t xml:space="preserve"> + 2 aparece a barra lateral direita com algumas funções, entre elas, definir a visibilidade dos membros da classe</w:t>
      </w:r>
    </w:p>
    <w:p w14:paraId="6EB87905" w14:textId="57AF41F7" w:rsidR="00085A1D" w:rsidRDefault="00085A1D">
      <w:r w:rsidRPr="00085A1D">
        <w:drawing>
          <wp:inline distT="0" distB="0" distL="0" distR="0" wp14:anchorId="798274CC" wp14:editId="0E50C060">
            <wp:extent cx="5400040" cy="2898140"/>
            <wp:effectExtent l="0" t="0" r="0" b="0"/>
            <wp:docPr id="4064570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57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1D"/>
    <w:rsid w:val="00085A1D"/>
    <w:rsid w:val="0066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9A5B"/>
  <w15:chartTrackingRefBased/>
  <w15:docId w15:val="{BB54828C-2BAD-4152-8091-3DB55AE7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2023-08-22T14:41:00Z</dcterms:created>
  <dcterms:modified xsi:type="dcterms:W3CDTF">2023-08-22T14:48:00Z</dcterms:modified>
</cp:coreProperties>
</file>