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spacing w:line="240" w:lineRule="auto"/>
              <w:ind w:left="566.9999999999999" w:firstLine="0"/>
              <w:rPr>
                <w:rFonts w:ascii="Cambria" w:cs="Cambria" w:eastAsia="Cambria" w:hAnsi="Cambri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Caso Extendido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Proyecto: Savannah Gestor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31/08/2024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Gestión de Ventas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Cajero, Administrador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Cajero inicia sesión en el sistema.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opción Procesar Venta.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total de la venta.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el IVA correspondiente.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el Neto de la venta.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Muestra las Ganancias calculadas.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cajero confirma la venta y el sistema procesa la transacción.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necesario, el cajero puede: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los datos de la venta.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Cancelar la venta antes de que se finalice.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Imprimir el ticket de la venta realizada.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automáticamente el Inventario tras cada venta.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el cajero requiera asistencia, puede solicitar ayuda al Administrador para la modificación o cancelación de una venta.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Gestión de Inventario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Administrador del sistema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Inventario.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las siguientes acciones: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Inventario, actualizando la cantidad y detalles de los productos.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seguimiento en Tiempo Real del inventario.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una Alerta Automática de Reposición cuando los niveles de stock caen por debajo de un umbral definido.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sincroniza los cambios con la base de datos en tiempo real.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Reportes y Análisis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Generar Reportes.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generar reportes de ventas: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Mensuales o Anuales para cuadrar las ventas.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una Comparación Anual de ventas.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el Análisis Predictivo para obtener proyecciones de ventas futuras basadas en datos históricos.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presenta los datos de manera gráfica y exportable para facilitar su análisis.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Gestión de Clientes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Clientes.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las siguientes acciones: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Cliente, ingresando los datos necesarios.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y administrar Programas de Fidelización y Descuentos automáticos para los clientes recurrentes.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almacena los datos de los clientes para futuras ventas y programas de fidelización.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Gestión de Empleados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 del sistema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del Sistema accede a la sección Gestionar Empleados.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agregar empleados, definiendo los roles y permisos correspondientes para cada usuario del sistema.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Configuración y Administración del Sistema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 del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del Sistema accede a la sección de Configuración y Administración del Sistema.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realizar las siguientes acciones: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Roles y Accesos, asignando permisos a los empleados según su función (Cajero, Administrador, etc.).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y mantener la Sincronización de Datos Offline para asegurar que el sistema funcione sin interrupciones en caso de pérdida de conexión.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4f81bd"/>
        <w:rtl w:val="0"/>
      </w:rPr>
      <w:t xml:space="preserve">Caso extendido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tabs>
        <w:tab w:val="center" w:leader="none" w:pos="4419"/>
        <w:tab w:val="right" w:leader="none" w:pos="8838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3057756" cy="673742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5DmYxjDX3tnR9L5ubfym9UMu5w==">CgMxLjAyCGguZ2pkZ3hzOAByITEtN2J1LVlWS3FIZXZTTGhXWC04a3Vla0d3ak8xQUVFRw==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