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DigiEmu Core Specification v1.0</w:t>
      </w:r>
    </w:p>
    <w:p>
      <w:r>
        <w:t>Status: Normative Standard</w:t>
        <w:br/>
        <w:t>Scope: Deterministic Knowledge Infrastructure Layer</w:t>
      </w:r>
    </w:p>
    <w:p>
      <w:r>
        <w:t>Date: 2026-02-17</w:t>
      </w:r>
    </w:p>
    <w:p/>
    <w:p>
      <w:pPr>
        <w:pStyle w:val="Heading2"/>
      </w:pPr>
      <w:r>
        <w:t>1. Scope</w:t>
      </w:r>
    </w:p>
    <w:p>
      <w:r>
        <w:t>Defines the deterministic knowledge layer architecture for AI systems.</w:t>
      </w:r>
    </w:p>
    <w:p/>
    <w:p>
      <w:pPr>
        <w:pStyle w:val="Heading2"/>
      </w:pPr>
      <w:r>
        <w:t>2. Core Principles</w:t>
      </w:r>
    </w:p>
    <w:p>
      <w:r>
        <w:t>Determinism, Explicit Uncertainty, Immutability, Auditability.</w:t>
      </w:r>
    </w:p>
    <w:p/>
    <w:p>
      <w:pPr>
        <w:pStyle w:val="Heading2"/>
      </w:pPr>
      <w:r>
        <w:t>3. Domain Model</w:t>
      </w:r>
    </w:p>
    <w:p>
      <w:r>
        <w:t>Tenant, Content, ContentVersion, Claim, Snapshot.</w:t>
      </w:r>
    </w:p>
    <w:p/>
    <w:p>
      <w:pPr>
        <w:pStyle w:val="Heading2"/>
      </w:pPr>
      <w:r>
        <w:t>4. Snapshot Integrity</w:t>
      </w:r>
    </w:p>
    <w:p>
      <w:r>
        <w:t>Canonical serialization + SHA-256 hashing required.</w:t>
      </w:r>
    </w:p>
    <w:p/>
    <w:p>
      <w:pPr>
        <w:pStyle w:val="Heading2"/>
      </w:pPr>
      <w:r>
        <w:t>5. Conformance Requirements</w:t>
      </w:r>
    </w:p>
    <w:p>
      <w:r>
        <w:t>Level 1–3 compliance definitions.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