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DigiEmu Core Governance &amp; Stewardship Framework</w:t>
      </w:r>
    </w:p>
    <w:p>
      <w:r>
        <w:t>Status: Supporting Framework</w:t>
      </w:r>
    </w:p>
    <w:p>
      <w:r>
        <w:t>Date: 2026-02-17</w:t>
      </w:r>
    </w:p>
    <w:p/>
    <w:p>
      <w:pPr>
        <w:pStyle w:val="Heading2"/>
      </w:pPr>
      <w:r>
        <w:t>Purpose</w:t>
      </w:r>
    </w:p>
    <w:p>
      <w:r>
        <w:t>Defines governance of the DigiEmu Core standard.</w:t>
      </w:r>
    </w:p>
    <w:p/>
    <w:p>
      <w:pPr>
        <w:pStyle w:val="Heading2"/>
      </w:pPr>
      <w:r>
        <w:t>Roles</w:t>
      </w:r>
    </w:p>
    <w:p>
      <w:r>
        <w:t>Maintainer, Guardian, Auditor, Certification Authority.</w:t>
      </w:r>
    </w:p>
    <w:p/>
    <w:p>
      <w:pPr>
        <w:pStyle w:val="Heading2"/>
      </w:pPr>
      <w:r>
        <w:t>Change Management</w:t>
      </w:r>
    </w:p>
    <w:p>
      <w:r>
        <w:t>Version control via formal release governance.</w:t>
      </w:r>
    </w:p>
    <w:p/>
    <w:p>
      <w:pPr>
        <w:pStyle w:val="Heading2"/>
      </w:pPr>
      <w:r>
        <w:t>Ethical Stewardship</w:t>
      </w:r>
    </w:p>
    <w:p>
      <w:r>
        <w:t>Infrastructure-first, explicit knowledge handling.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