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Deployment &amp; Operational Guidelines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Deployment Model</w:t>
      </w:r>
    </w:p>
    <w:p>
      <w:r>
        <w:t>PostgreSQL-backed reference architecture.</w:t>
      </w:r>
    </w:p>
    <w:p/>
    <w:p>
      <w:pPr>
        <w:pStyle w:val="Heading2"/>
      </w:pPr>
      <w:r>
        <w:t>Environment Separation</w:t>
      </w:r>
    </w:p>
    <w:p>
      <w:r>
        <w:t>Dev / Staging / Production.</w:t>
      </w:r>
    </w:p>
    <w:p/>
    <w:p>
      <w:pPr>
        <w:pStyle w:val="Heading2"/>
      </w:pPr>
      <w:r>
        <w:t>Operational Monitoring</w:t>
      </w:r>
    </w:p>
    <w:p>
      <w:r>
        <w:t>Snapshot verification routines.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