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DigiEmu Core Conformance Requirements v1.0</w:t>
      </w:r>
    </w:p>
    <w:p>
      <w:r>
        <w:t>Status: Supporting Framework</w:t>
      </w:r>
    </w:p>
    <w:p>
      <w:r>
        <w:t>Date: 2026-02-17</w:t>
      </w:r>
    </w:p>
    <w:p/>
    <w:p>
      <w:pPr>
        <w:pStyle w:val="Heading2"/>
      </w:pPr>
      <w:r>
        <w:t>Level 1</w:t>
      </w:r>
    </w:p>
    <w:p>
      <w:r>
        <w:t>Deterministic snapshot compliance.</w:t>
      </w:r>
    </w:p>
    <w:p/>
    <w:p>
      <w:pPr>
        <w:pStyle w:val="Heading2"/>
      </w:pPr>
      <w:r>
        <w:t>Level 2</w:t>
      </w:r>
    </w:p>
    <w:p>
      <w:r>
        <w:t>Audit verification support.</w:t>
      </w:r>
    </w:p>
    <w:p/>
    <w:p>
      <w:pPr>
        <w:pStyle w:val="Heading2"/>
      </w:pPr>
      <w:r>
        <w:t>Level 3</w:t>
      </w:r>
    </w:p>
    <w:p>
      <w:r>
        <w:t>Enterprise-grade governance &amp; certification alignment.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