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    DB1.DBX    3.0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"PS13"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UN    "PS8"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"PS8"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UN    "D5D"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3.2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"D5D"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UN    "PS12"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3.3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"PS12"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UN    "D6D"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2.3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3.4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"D6D"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2.3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UN    "PS8"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2.4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3.5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"PS8"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2.4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UN    "D5G"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2.5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3.6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"D5G"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2.5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UN    "PS11"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3.7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"PS11"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UN    "D6G"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2.7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"D6G"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2.7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UN    "PS13"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3.0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4.1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//Bloc 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3.1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3.2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3.3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3.4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3.5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3.6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3.7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2.6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4.0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4.1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DB1.DBX    3.0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//Bloc 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     DB1.DBX    2.5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"D5"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"R5D"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     DB1.DBX    2.6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"V5"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     DB1.DBX    2.6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"ST8"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"ST10"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"ST9"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2.3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     DB1.DBX    2.7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"D6"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2.3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"R6D"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2.4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O     DB1.DBX    3.0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"V6"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2.4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"ST12"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2.5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"R5G"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2.7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"R6G"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U     DB1.DBX    3.0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=     "ST11"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