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L’objectif de ce cahier de charge est de faire la communication entre les automates.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navettes tournent dans le cycle d’attendre au centre..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il n’y a pas de navette devant PS2, on fait rentre une navette et elle doit s’arrêter devant PS2. Pareillement pour PS21.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fois une navette est arrêté devant PS2, elle attend que l’automate 2 passé l’information comme il y a une navette est arrêté devant PS21. Une fois automate 1 a reçu cette information, une temporisation de 3 secondes est lancé, d’après cette délais les deux navettes peuvent sortir de la zone de travailler et retourne dans le cycle d’attendre.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communication est faite en mode Uni-telway.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