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color w:val="1f1f1f"/>
          <w:sz w:val="28"/>
          <w:szCs w:val="28"/>
        </w:rPr>
      </w:pPr>
      <w:r w:rsidDel="00000000" w:rsidR="00000000" w:rsidRPr="00000000">
        <w:rPr>
          <w:b w:val="1"/>
          <w:bCs w:val="1"/>
          <w:color w:val="1f1f1f"/>
          <w:sz w:val="28"/>
          <w:szCs w:val="28"/>
          <w:rtl w:val="0"/>
        </w:rPr>
        <w:t xml:space="preserve">Project abstract: 300-word limit</w:t>
      </w:r>
    </w:p>
    <w:p w:rsidR="00000000" w:rsidDel="00000000" w:rsidP="00000000" w:rsidRDefault="00000000" w:rsidRPr="00000000" w14:paraId="00000002">
      <w:pPr>
        <w:shd w:fill="ffffff" w:val="clear"/>
        <w:rPr>
          <w:b w:val="1"/>
          <w:bCs w:val="1"/>
          <w:color w:val="1f1f1f"/>
          <w:sz w:val="28"/>
          <w:szCs w:val="28"/>
        </w:rPr>
      </w:pPr>
      <w:r w:rsidDel="00000000" w:rsidR="00000000" w:rsidRPr="00000000">
        <w:rPr>
          <w:b w:val="1"/>
          <w:bCs w:val="1"/>
          <w:color w:val="1f1f1f"/>
          <w:sz w:val="28"/>
          <w:szCs w:val="28"/>
          <w:rtl w:val="0"/>
        </w:rPr>
        <w:t xml:space="preserve">Provide a summary of the goals of your project, methodology, and the outcomes you hope to achieve. This description will appear on our website if your project is awarded, so please make it as accessible to non-specialists as possible.</w:t>
      </w:r>
    </w:p>
    <w:p w:rsidR="00000000" w:rsidDel="00000000" w:rsidP="00000000" w:rsidRDefault="00000000" w:rsidRPr="00000000" w14:paraId="00000003">
      <w:pPr>
        <w:shd w:fill="ffffff" w:val="clear"/>
        <w:rPr>
          <w:color w:val="1f1f1f"/>
          <w:sz w:val="28"/>
          <w:szCs w:val="28"/>
        </w:rPr>
      </w:pPr>
      <w:r w:rsidDel="00000000" w:rsidR="00000000" w:rsidRPr="00000000">
        <w:rPr>
          <w:rtl w:val="0"/>
        </w:rPr>
      </w:r>
    </w:p>
    <w:p w:rsidR="00000000" w:rsidDel="00000000" w:rsidP="00000000" w:rsidRDefault="00000000" w:rsidRPr="00000000" w14:paraId="00000004">
      <w:pPr>
        <w:shd w:fill="ffffff" w:val="clear"/>
        <w:spacing w:after="240" w:before="240" w:lineRule="auto"/>
        <w:rPr>
          <w:color w:val="1f1f1f"/>
          <w:sz w:val="24"/>
          <w:szCs w:val="24"/>
        </w:rPr>
      </w:pPr>
      <w:r w:rsidDel="00000000" w:rsidR="00000000" w:rsidRPr="00000000">
        <w:rPr>
          <w:color w:val="1f1f1f"/>
          <w:sz w:val="24"/>
          <w:szCs w:val="24"/>
          <w:rtl w:val="0"/>
        </w:rPr>
        <w:t xml:space="preserve">Do “better” schools improve their students’ outcomes, or do they appear better because certain families and students select into them? This project studies that question in Chile, where recent reforms created a national centralized school admission system and where rich administrative data make it possible to follow students from high school into higher education.</w:t>
      </w:r>
    </w:p>
    <w:p w:rsidR="00000000" w:rsidDel="00000000" w:rsidP="00000000" w:rsidRDefault="00000000" w:rsidRPr="00000000" w14:paraId="00000005">
      <w:pPr>
        <w:shd w:fill="ffffff" w:val="clear"/>
        <w:spacing w:after="240" w:before="240" w:lineRule="auto"/>
        <w:rPr>
          <w:color w:val="1f1f1f"/>
          <w:sz w:val="24"/>
          <w:szCs w:val="24"/>
        </w:rPr>
      </w:pPr>
      <w:r w:rsidDel="00000000" w:rsidR="00000000" w:rsidRPr="00000000">
        <w:rPr>
          <w:color w:val="1f1f1f"/>
          <w:sz w:val="24"/>
          <w:szCs w:val="24"/>
          <w:rtl w:val="0"/>
        </w:rPr>
        <w:t xml:space="preserve">The project uses Chile’s school assignment system to separate the effect of attending a school from the characteristics of the students who apply to it. Families submit ranked lists of schools, and when a school has more applicants than available seats, some offers are determined through random tie-breaking. This creates a setting in which students with similar preferences may receive different school offers for reasons unrelated to their background or ability. By comparing these students, I can estimate the causal effects of high schools on later outcomes.</w:t>
      </w:r>
    </w:p>
    <w:p w:rsidR="00000000" w:rsidDel="00000000" w:rsidP="00000000" w:rsidRDefault="00000000" w:rsidRPr="00000000" w14:paraId="00000006">
      <w:pPr>
        <w:shd w:fill="ffffff" w:val="clear"/>
        <w:spacing w:after="240" w:before="240" w:lineRule="auto"/>
        <w:rPr>
          <w:color w:val="1f1f1f"/>
          <w:sz w:val="24"/>
          <w:szCs w:val="24"/>
        </w:rPr>
      </w:pPr>
      <w:r w:rsidDel="00000000" w:rsidR="00000000" w:rsidRPr="00000000">
        <w:rPr>
          <w:color w:val="1f1f1f"/>
          <w:sz w:val="24"/>
          <w:szCs w:val="24"/>
          <w:rtl w:val="0"/>
        </w:rPr>
        <w:t xml:space="preserve">The project focuses not only on traditional measures such as academic achievement, but also on students’ higher education choices. In particular, I study whether high schools affect the types of programs students apply to and enroll in, including STEM and other high-return fields. Because Chile’s system covers a large share of the high-school population and can be linked to centralized higher education records, it offers an unusual opportunity to study school effects at national scale.</w:t>
      </w:r>
    </w:p>
    <w:p w:rsidR="00000000" w:rsidDel="00000000" w:rsidP="00000000" w:rsidRDefault="00000000" w:rsidRPr="00000000" w14:paraId="00000007">
      <w:pPr>
        <w:shd w:fill="ffffff" w:val="clear"/>
        <w:spacing w:after="240" w:before="240" w:lineRule="auto"/>
        <w:rPr>
          <w:color w:val="1f1f1f"/>
          <w:sz w:val="24"/>
          <w:szCs w:val="24"/>
        </w:rPr>
      </w:pPr>
      <w:r w:rsidDel="00000000" w:rsidR="00000000" w:rsidRPr="00000000">
        <w:rPr>
          <w:color w:val="1f1f1f"/>
          <w:sz w:val="24"/>
          <w:szCs w:val="24"/>
          <w:rtl w:val="0"/>
        </w:rPr>
        <w:t xml:space="preserve">This grant would support a new survey of students entering and graduating from high school. The survey will measure factors that are difficult to observe in administrative data, such as students’ knowledge about higher education, beliefs about earnings, awareness and knowledge of financial aid, non-measured skills, academic confidence, aspirations, and sense of belonging. Combining these survey measures with causal estimates will help show not only whether schools matter, but how they shape students’ educational trajectories.</w:t>
      </w:r>
    </w:p>
    <w:p w:rsidR="00000000" w:rsidDel="00000000" w:rsidP="00000000" w:rsidRDefault="00000000" w:rsidRPr="00000000" w14:paraId="00000008">
      <w:pPr>
        <w:shd w:fill="ffffff" w:val="clear"/>
        <w:rPr>
          <w:color w:val="1f1f1f"/>
          <w:sz w:val="24"/>
          <w:szCs w:val="24"/>
        </w:rPr>
      </w:pPr>
      <w:r w:rsidDel="00000000" w:rsidR="00000000" w:rsidRPr="00000000">
        <w:rPr>
          <w:rtl w:val="0"/>
        </w:rPr>
      </w:r>
    </w:p>
    <w:p w:rsidR="00000000" w:rsidDel="00000000" w:rsidP="00000000" w:rsidRDefault="00000000" w:rsidRPr="00000000" w14:paraId="00000009">
      <w:pPr>
        <w:shd w:fill="ffffff" w:val="clear"/>
        <w:rPr>
          <w:color w:val="1f1f1f"/>
          <w:sz w:val="28"/>
          <w:szCs w:val="28"/>
        </w:rPr>
      </w:pPr>
      <w:r w:rsidDel="00000000" w:rsidR="00000000" w:rsidRPr="00000000">
        <w:rPr>
          <w:rtl w:val="0"/>
        </w:rPr>
      </w:r>
    </w:p>
    <w:p w:rsidR="00000000" w:rsidDel="00000000" w:rsidP="00000000" w:rsidRDefault="00000000" w:rsidRPr="00000000" w14:paraId="0000000A">
      <w:pPr>
        <w:shd w:fill="ffffff" w:val="clear"/>
        <w:rPr>
          <w:color w:val="1f1f1f"/>
          <w:sz w:val="28"/>
          <w:szCs w:val="28"/>
        </w:rPr>
      </w:pPr>
      <w:r w:rsidDel="00000000" w:rsidR="00000000" w:rsidRPr="00000000">
        <w:rPr>
          <w:rtl w:val="0"/>
        </w:rPr>
      </w:r>
    </w:p>
    <w:p w:rsidR="00000000" w:rsidDel="00000000" w:rsidP="00000000" w:rsidRDefault="00000000" w:rsidRPr="00000000" w14:paraId="0000000B">
      <w:pPr>
        <w:shd w:fill="ffffff" w:val="clear"/>
        <w:rPr>
          <w:color w:val="1f1f1f"/>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hd w:fill="ffffff" w:val="clear"/>
        <w:rPr>
          <w:b w:val="1"/>
          <w:bCs w:val="1"/>
          <w:color w:val="1f1f1f"/>
          <w:sz w:val="24"/>
          <w:szCs w:val="24"/>
        </w:rPr>
      </w:pPr>
      <w:r w:rsidDel="00000000" w:rsidR="00000000" w:rsidRPr="00000000">
        <w:rPr>
          <w:b w:val="1"/>
          <w:bCs w:val="1"/>
          <w:color w:val="1f1f1f"/>
          <w:sz w:val="24"/>
          <w:szCs w:val="24"/>
          <w:rtl w:val="0"/>
        </w:rPr>
        <w:t xml:space="preserve">Project description (1,300-word limit)*</w:t>
      </w:r>
    </w:p>
    <w:p w:rsidR="00000000" w:rsidDel="00000000" w:rsidP="00000000" w:rsidRDefault="00000000" w:rsidRPr="00000000" w14:paraId="00000011">
      <w:pPr>
        <w:shd w:fill="ffffff" w:val="clear"/>
        <w:rPr>
          <w:b w:val="1"/>
          <w:bCs w:val="1"/>
          <w:color w:val="1f1f1f"/>
          <w:sz w:val="24"/>
          <w:szCs w:val="24"/>
        </w:rPr>
      </w:pPr>
      <w:r w:rsidDel="00000000" w:rsidR="00000000" w:rsidRPr="00000000">
        <w:rPr>
          <w:b w:val="1"/>
          <w:bCs w:val="1"/>
          <w:color w:val="1f1f1f"/>
          <w:sz w:val="24"/>
          <w:szCs w:val="24"/>
          <w:rtl w:val="0"/>
        </w:rPr>
        <w:t xml:space="preserve">Include background on the topic/question to be investigated, why the project is necessary to advance knowledge of that topic/question, the project’s general academic significance, and your proposed methodology.</w:t>
      </w:r>
    </w:p>
    <w:p>
      <w:r>
        <w:t>Education is one of the central investments through which societies build human capital. Yet we still know surprisingly little about what, exactly, high schools do. Do students who attend “better” schools achieve more because those schools improve their skills, information, aspirations, and confidence? Or do these schools appear better mainly because families with more resources and higher-achieving students select into them? This project studies that question in Chile, focusing not only on test scores but also on students’ later higher-education choices: where they apply, what fields they choose, whether they enroll in STEM or other high-return programs, and how they progress after high school.</w:t>
      </w:r>
    </w:p>
    <w:p>
      <w:r>
        <w:t>The question matters because field and program choice are economically consequential. A large literature shows that education affects earnings and mobility, but returns vary substantially across fields of study and institutions (Kirkeboen, Leuven, and Mogstad 2016). Students’ choices also respond to information, beliefs about earnings, perceived ability, preferences, and social context (Wiswall and Zafar 2015; Hastings, Neilson, and Zimmerman 2016). This means that schools may shape long-run outcomes even when they do not only raise measured academic achievement. A school might increase a student’s probability of applying to selective programs, taking the relevant entrance exams, considering STEM, understanding financial aid, or believing that a demanding field is feasible. These margins are especially important in Latin America, where inequality in information, academic preparation, and institutional support may shape postsecondary choices long before students submit college applications.</w:t>
      </w:r>
    </w:p>
    <w:p>
      <w:r>
        <w:t>Estimating the causal effect of schools is difficult because students are not randomly assigned to schools. Families choose schools based on preferences, location, networks, resources, and expectations; schools also differ in peer composition and local context. As a result, simple comparisons across schools confound school effects with student selection. This is the core challenge in the school value-added literature. Existing work has made major progress using lotteries and quasi-random assignment to estimate effects on test scores, college enrollment, and other outcomes (Chetty, Friedman, and Rockoff 2014; Angrist et al. 2016; Dobbie and Fryer 2015; Deming et al. 2014). However, much less is known about whether schools affect detailed higher-education choices, especially field choice, application portfolios, and the non-score mechanisms that lead students toward or away from particular paths.</w:t>
      </w:r>
    </w:p>
    <w:p>
      <w:r>
        <w:t>Chile offers a uniquely powerful setting for answering this question. Recent reforms created a centralized school assignment system in which families submit ranked lists of schools. When schools are oversubscribed, seats are allocated using lottery tie-breakers within priority groups. Centralized assignment systems can turn school choice into a credible research design because students with similar preferences and priorities may receive different offers for reasons unrelated to their background or ability (Abdulkadiroğlu et al. 2017). Recent research also shows how assignment probabilities and school lotteries can be used to estimate and validate school value-added (Angrist et al. 2017; Angrist et al. 2024). Chile combines this assignment design with unusually rich administrative data, including school enrollment records, test scores, higher-education entrance exam outcomes, centralized applications to program-institution pairs, admissions information, enrollment, and subsequent academic trajectories.</w:t>
      </w:r>
    </w:p>
    <w:p>
      <w:r>
        <w:t>My project uses these linked systems to estimate whether high schools causally affect students’ academic outcomes and higher-education choices. The empirical strategy begins by reconstructing the centralized assignment process and computing each student’s assignment risk: the probability that the student would be assigned to each school given their preferences, priorities, available seats, and lottery variation. This step is essential because Chile’s assignment system is not a simple textbook lottery. Institutional details such as quotas, priority groups, guaranteed admission in origin schools, and transition rules matter for determining which students are truly at risk of being assigned to different schools. I have already built the core assignment-probability machinery needed for this design.</w:t>
      </w:r>
    </w:p>
    <w:p>
      <w:r>
        <w:t>The main analysis links lottery-generated school offers to later outcomes. I will compare students who applied through the centralized system and faced meaningful assignment risk, controlling for their assignment probabilities and predetermined characteristics. The outcomes include standardized math and language scores, exam-taking choices, application portfolios, STEM content of applications, field of enrollment, program-institution choice, and persistence or switching in higher education. In addition to estimating effects on these outcomes directly, I construct school-level measures of observational value added and ask whether lottery-induced movement toward schools with higher predicted value improves student outcomes. This provides a tractable way to study a large national system with many schools while preserving the central question: whether attending schools with stronger measured performance actually changes students’ later trajectories.</w:t>
      </w:r>
    </w:p>
    <w:p>
      <w:r>
        <w:t>The proposed survey is necessary because administrative data alone cannot reveal the mechanisms behind these effects. Administrative records show where students apply and enroll, but not what they know, believe, expect, or feel when making those decisions. If a school increases STEM enrollment, for example, the mechanism could be improved math preparation, better information about earnings, stronger counseling, greater awareness of financial aid, exposure to role models, higher academic confidence, or a stronger sense of belonging in selective higher education. These mechanisms have different implications for policy. A test-score effect suggests one type of intervention; an information or confidence effect suggests another.</w:t>
      </w:r>
    </w:p>
    <w:p>
      <w:r>
        <w:t>The grant would support a new survey of students entering and graduating from high school. Surveying students at both stages will allow me to measure differences in beliefs and information at school entry and near graduation. The instrument will collect information on knowledge of higher-education programs, expected earnings by field, perceived costs and financial aid, academic confidence, aspirations, sense of belonging, non-tested skills, exposure to counseling, and perceptions of school support. These measures are designed to complement, not replace, the administrative research design. By linking survey measures to school assignment and later administrative outcomes, I can ask whether schools that causally change higher-education choices also change the beliefs, information, confidence, or support that plausibly mediate those choices.</w:t>
      </w:r>
    </w:p>
    <w:p>
      <w:r>
        <w:t>The academic contribution is threefold. First, the project extends the school-effects literature beyond conventional outcomes such as test scores and college enrollment, studying detailed application and field-choice outcomes at national scale. Second, it brings together two centralized systems--school assignment and higher-education applications--that are rarely observed jointly. This makes it possible to follow the path from high school assignment to program-level postsecondary choice with unusual granularity. Third, the survey will add mechanism data to a credible causal design, allowing the project to distinguish whether schools matter mainly through academic achievement or also through information, aspirations, perceived fit, and other non-score dimensions of decision-making.</w:t>
      </w:r>
    </w:p>
    <w:p>
      <w:r>
        <w:t>The project is therefore both methodological and substantive. Methodologically, it uses centralized assignment to address selection into schools and to study school effectiveness in a setting where many schools, cohorts, and outcomes can be observed. Substantively, it asks how high schools shape the choices that determine students’ later specialization and opportunities. For Latin America, this is especially relevant because expanding access to education is not enough if students lack the information, preparation, or support needed to enter valuable fields and persist in them. The survey funded by this grant would make it possible to move from estimating whether schools matter to understanding how they matter.</w:t>
      </w:r>
    </w:p>
    <w:p w:rsidR="00000000" w:rsidDel="00000000" w:rsidP="00000000" w:rsidRDefault="00000000" w:rsidRPr="00000000" w14:paraId="0000002D">
      <w:pPr>
        <w:spacing w:line="36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Explanation of significance and the relevance to Latin America.  (400-word limit)</w:t>
      </w:r>
    </w:p>
    <w:p w:rsidR="00000000" w:rsidDel="00000000" w:rsidP="00000000" w:rsidRDefault="00000000" w:rsidRPr="00000000" w14:paraId="0000002E">
      <w:pPr>
        <w:rPr>
          <w:b w:val="1"/>
          <w:bCs w:val="1"/>
        </w:rPr>
      </w:pPr>
      <w:r w:rsidDel="00000000" w:rsidR="00000000" w:rsidRPr="00000000">
        <w:rPr>
          <w:rFonts w:ascii="Roboto" w:cs="Roboto" w:eastAsia="Roboto" w:hAnsi="Roboto"/>
          <w:b w:val="1"/>
          <w:bCs w:val="1"/>
          <w:color w:val="db372d"/>
          <w:sz w:val="24"/>
          <w:szCs w:val="24"/>
          <w:highlight w:val="white"/>
          <w:rtl w:val="0"/>
        </w:rPr>
        <w:t xml:space="preserve">*</w:t>
      </w:r>
      <w:r w:rsidDel="00000000" w:rsidR="00000000" w:rsidRPr="00000000">
        <w:rPr>
          <w:b w:val="1"/>
          <w:bCs w:val="1"/>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t xml:space="preserve">Human capital accumulation is widely viewed as a central driver of productivity, mobility, and long-run economic growth. Latin America has made substantial progress in expanding access to education, and the region devotes a meaningful share of public resources to schooling. However, lower fiscal capacity means that per-student resources remain far below those in richer countries, while learning outcomes and educational attainment continue to lag behind OECD benchmarks. This makes it important to understand whether schools improve students’ outcomes, which schools are most effective, and how they transform resources into human capital.</w:t>
      </w:r>
    </w:p>
    <w:p w:rsidR="00000000" w:rsidDel="00000000" w:rsidP="00000000" w:rsidRDefault="00000000" w:rsidRPr="00000000" w14:paraId="00000030">
      <w:pPr>
        <w:spacing w:after="240" w:before="240" w:lineRule="auto"/>
        <w:rPr/>
      </w:pPr>
      <w:r w:rsidDel="00000000" w:rsidR="00000000" w:rsidRPr="00000000">
        <w:rPr>
          <w:rtl w:val="0"/>
        </w:rPr>
        <w:t xml:space="preserve">Studying school quality—or, more precisely, the causal effects of schools—is methodologically difficult. Students are rarely assigned to schools at random. Families choose schools based on preferences, information, resources, and residential location; in many countries, families also sort into school choice sets through neighborhood choice. This makes it difficult to distinguish the effect of attending a school from the characteristics of the families who select into it.</w:t>
      </w:r>
    </w:p>
    <w:p w:rsidR="00000000" w:rsidDel="00000000" w:rsidP="00000000" w:rsidRDefault="00000000" w:rsidRPr="00000000" w14:paraId="00000031">
      <w:pPr>
        <w:spacing w:after="240" w:before="240" w:lineRule="auto"/>
        <w:rPr/>
      </w:pPr>
      <w:r w:rsidDel="00000000" w:rsidR="00000000" w:rsidRPr="00000000">
        <w:rPr>
          <w:rtl w:val="0"/>
        </w:rPr>
        <w:t xml:space="preserve">Centralized assignment systems can help address this problem. When oversubscribed schools allocate seats using lotteries or quasi-random tie-breaking rules, researchers can credibly estimate the causal effects of attending particular schools. However, such systems remain rare for high school assignments, especially in Latin America. The Chilean case therefore offers a unique opportunity to produce credible evidence on school effectiveness in the region. Chile’s national implementation adds a further advantage, allowing these effects to be studied at a broad scale. This evidence can help policymakers and families understand how educational investments translate into human capital.</w:t>
      </w:r>
    </w:p>
    <w:p w:rsidR="00000000" w:rsidDel="00000000" w:rsidP="00000000" w:rsidRDefault="00000000" w:rsidRPr="00000000" w14:paraId="00000032">
      <w:pPr>
        <w:spacing w:after="240" w:before="240" w:lineRule="auto"/>
        <w:rPr/>
      </w:pPr>
      <w:r w:rsidDel="00000000" w:rsidR="00000000" w:rsidRPr="00000000">
        <w:rPr>
          <w:rtl w:val="0"/>
        </w:rPr>
        <w:t xml:space="preserve">A central contribution of the project is to study whether high schools affect students’ choice of field in higher education. Field choice matters because it is linked to earnings, skill formation, and the allocation of talent across sectors. STEM participation remains an important policy concern in Latin America, even though aggregate shares vary across countries and may conceal unequal access to the preparation, information, and support needed to enter these fields. By combining administrative estimates with new survey evidence, this project can identify whether high schools shape field choice and uncover mechanisms rarely observed in administrative data, including beliefs about returns, financial aid awareness, academic confidence, aspirations, and sense of belonging. These mechanisms may be especially important in Latin America, where high inequality can make educational choices depend not only on achievement, but also on the information, expectations, and support available in schools.</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hd w:fill="ffffff" w:val="clear"/>
        <w:rPr>
          <w:b w:val="1"/>
          <w:bCs w:val="1"/>
          <w:color w:val="1f1f1f"/>
          <w:sz w:val="24"/>
          <w:szCs w:val="24"/>
        </w:rPr>
      </w:pPr>
      <w:r w:rsidDel="00000000" w:rsidR="00000000" w:rsidRPr="00000000">
        <w:rPr>
          <w:rtl w:val="0"/>
        </w:rPr>
      </w:r>
    </w:p>
    <w:p w:rsidR="00000000" w:rsidDel="00000000" w:rsidP="00000000" w:rsidRDefault="00000000" w:rsidRPr="00000000" w14:paraId="0000003A">
      <w:pPr>
        <w:shd w:fill="ffffff" w:val="clear"/>
        <w:rPr>
          <w:b w:val="1"/>
          <w:bCs w:val="1"/>
          <w:color w:val="1f1f1f"/>
          <w:sz w:val="24"/>
          <w:szCs w:val="24"/>
        </w:rPr>
      </w:pPr>
      <w:r w:rsidDel="00000000" w:rsidR="00000000" w:rsidRPr="00000000">
        <w:rPr>
          <w:b w:val="1"/>
          <w:bCs w:val="1"/>
          <w:color w:val="1f1f1f"/>
          <w:sz w:val="24"/>
          <w:szCs w:val="24"/>
          <w:rtl w:val="0"/>
        </w:rPr>
        <w:t xml:space="preserve">Desired outcomes (300-word limit)</w:t>
      </w:r>
    </w:p>
    <w:p w:rsidR="00000000" w:rsidDel="00000000" w:rsidP="00000000" w:rsidRDefault="00000000" w:rsidRPr="00000000" w14:paraId="0000003B">
      <w:pPr>
        <w:shd w:fill="ffffff" w:val="clear"/>
        <w:rPr>
          <w:b w:val="1"/>
          <w:bCs w:val="1"/>
          <w:color w:val="1f1f1f"/>
          <w:sz w:val="24"/>
          <w:szCs w:val="24"/>
        </w:rPr>
      </w:pPr>
      <w:r w:rsidDel="00000000" w:rsidR="00000000" w:rsidRPr="00000000">
        <w:rPr>
          <w:b w:val="1"/>
          <w:bCs w:val="1"/>
          <w:color w:val="1f1f1f"/>
          <w:sz w:val="24"/>
          <w:szCs w:val="24"/>
          <w:rtl w:val="0"/>
        </w:rPr>
        <w:t xml:space="preserve">Describe any significant academic, scientific, cultural, or other outcomes that will result from this project (i.e. publications, development of new data sets, development of significant works of art, etc.).</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This project will generate two main outcomes. First, it will produce a new student-level survey dataset on the inputs shaping higher education decisions in Chile. The survey will collect information on students’ knowledge of returns across higher education programs, awareness of financial aid opportunities, academic confidence, preferences, perceived belonging in higher education, and other factors that may shape postsecondary choices beyond national exam performance. Because the survey will be administered to students at different stages of high school, the data will allow me to construct school-level measures of these inputs at entry and near graduation, as well as measures of how they evolve while students are enrolled in a given school.</w:t>
      </w:r>
    </w:p>
    <w:p w:rsidR="00000000" w:rsidDel="00000000" w:rsidP="00000000" w:rsidRDefault="00000000" w:rsidRPr="00000000" w14:paraId="0000003E">
      <w:pPr>
        <w:spacing w:after="240" w:before="240" w:lineRule="auto"/>
        <w:rPr/>
      </w:pPr>
      <w:r w:rsidDel="00000000" w:rsidR="00000000" w:rsidRPr="00000000">
        <w:rPr>
          <w:rtl w:val="0"/>
        </w:rPr>
        <w:t xml:space="preserve">Second, the project will produce academic evidence on the mechanisms behind the causal school effects that I estimate using a lottery-based research design. The central contribution is to connect credible estimates of school effects with detailed survey evidence on the channels through which schools influence students’ higher education choices. In particular, the survey will help distinguish whether schools affect postsecondary decisions through academic achievement, information about returns and financial aid, aspirations, perceived belonging, or other non-score dimensions of decision-making.</w:t>
      </w:r>
    </w:p>
    <w:p w:rsidR="00000000" w:rsidDel="00000000" w:rsidP="00000000" w:rsidRDefault="00000000" w:rsidRPr="00000000" w14:paraId="0000003F">
      <w:pPr>
        <w:spacing w:after="240" w:before="240" w:lineRule="auto"/>
        <w:rPr/>
      </w:pPr>
      <w:r w:rsidDel="00000000" w:rsidR="00000000" w:rsidRPr="00000000">
        <w:rPr>
          <w:rtl w:val="0"/>
        </w:rPr>
        <w:t xml:space="preserve">Together, these outputs will provide the foundation for a research paper on how high schools shape higher education choices in Chile. They may also support future dissertation work and policy discussions about school quality, guidance, and educational investment in Latin America.</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spacing w:line="36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Estimated project timeline (300-word limit)</w:t>
      </w:r>
    </w:p>
    <w:p w:rsidR="00000000" w:rsidDel="00000000" w:rsidP="00000000" w:rsidRDefault="00000000" w:rsidRPr="00000000" w14:paraId="0000004A">
      <w:pPr>
        <w:spacing w:line="36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Lay out the project’s expected milestones over the course of the grant period.</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July–September 2026: </w:t>
      </w:r>
      <w:r w:rsidDel="00000000" w:rsidR="00000000" w:rsidRPr="00000000">
        <w:rPr>
          <w:rtl w:val="0"/>
        </w:rPr>
        <w:t xml:space="preserve">Develop the survey instrument, define the sampling strategy, and prepare IRB materials. This stage will include drafting survey modules, identifying key outcomes, and aligning the instrument with the project’s research design.</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July–December 2026: </w:t>
      </w:r>
      <w:r w:rsidDel="00000000" w:rsidR="00000000" w:rsidRPr="00000000">
        <w:rPr>
          <w:rtl w:val="0"/>
        </w:rPr>
        <w:t xml:space="preserve">Coordinate with the Ministry of Education, school authorities, and participating schools. This period will be used to secure institutional permissions, define the fieldwork protocol, and prepare consent/assent procedures.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October–December 2026: </w:t>
      </w:r>
      <w:r w:rsidDel="00000000" w:rsidR="00000000" w:rsidRPr="00000000">
        <w:rPr>
          <w:rtl w:val="0"/>
        </w:rPr>
        <w:t xml:space="preserve">Pilot and refine the survey instrument. The pilot will test question wording, survey length, implementation logistics, and data quality. Based on the pilot, I will revise the instrument and fieldwork procedures.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December 2026–February 2027: </w:t>
      </w:r>
      <w:r w:rsidDel="00000000" w:rsidR="00000000" w:rsidRPr="00000000">
        <w:rPr>
          <w:rtl w:val="0"/>
        </w:rPr>
        <w:t xml:space="preserve">Recruit enumerators and finalize fieldwork materials, including consent forms, school scripts, training materials, and data-security protocols.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Late February–early March 2027: </w:t>
      </w:r>
      <w:r w:rsidDel="00000000" w:rsidR="00000000" w:rsidRPr="00000000">
        <w:rPr>
          <w:rtl w:val="0"/>
        </w:rPr>
        <w:t xml:space="preserve">Train enumerators and coordinate with schools at the beginning of the academic year. Parent authorization and student assent procedures will be implemented in coordination with participating schools.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Mid-March–April 2027:</w:t>
      </w:r>
      <w:r w:rsidDel="00000000" w:rsidR="00000000" w:rsidRPr="00000000">
        <w:rPr>
          <w:rtl w:val="0"/>
        </w:rPr>
        <w:t xml:space="preserve"> Conduct the survey.</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May–October 2027:</w:t>
      </w:r>
      <w:r w:rsidDel="00000000" w:rsidR="00000000" w:rsidRPr="00000000">
        <w:rPr>
          <w:rtl w:val="0"/>
        </w:rPr>
        <w:t xml:space="preserve"> Clean and analyze survey data. This stage will include data validation, construction of key measures, descriptive analysis, and preliminary estimates.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November–December 2027: </w:t>
      </w:r>
      <w:r w:rsidDel="00000000" w:rsidR="00000000" w:rsidRPr="00000000">
        <w:rPr>
          <w:rtl w:val="0"/>
        </w:rPr>
        <w:t xml:space="preserve">Prepare the final project report and working paper draft.</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color w:val="1f1f1f"/>
          <w:sz w:val="24"/>
          <w:szCs w:val="24"/>
          <w:highlight w:val="white"/>
          <w:rtl w:val="0"/>
        </w:rPr>
        <w:t xml:space="preserve"> Will the funded activities require IRB approval, either in the US or internationally? </w:t>
      </w:r>
      <w:r w:rsidDel="00000000" w:rsidR="00000000" w:rsidRPr="00000000">
        <w:rPr>
          <w:rFonts w:ascii="Roboto" w:cs="Roboto" w:eastAsia="Roboto" w:hAnsi="Roboto"/>
          <w:b w:val="1"/>
          <w:bCs w:val="1"/>
          <w:color w:val="db372d"/>
          <w:sz w:val="24"/>
          <w:szCs w:val="24"/>
          <w:highlight w:val="white"/>
          <w:rtl w:val="0"/>
        </w:rPr>
        <w:t xml:space="preserve">*</w:t>
      </w:r>
      <w:r w:rsidDel="00000000" w:rsidR="00000000" w:rsidRPr="00000000">
        <w:rPr>
          <w:b w:val="1"/>
          <w:bCs w:val="1"/>
          <w:rtl w:val="0"/>
        </w:rPr>
        <w:t xml:space="preserve"> </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Yes. Since the data gathering involves human subjects. The core of the survey should involve minimum risk as it would just ask high school students to talk about their expected returns of different higher educational choices, the skills they have,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