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25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 (IEEE 802.3)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3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remoto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840" w:leader="none"/>
        </w:tabs>
        <w:spacing w:beforeAutospacing="0" w:before="0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particularidades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particularedes do Modelo OSI. Por isso não será precisa entrar em tantos detalhes. Vamos exemplificar apenas suas diferenças; assim você verá que esse modelo é mais simples e melhor se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PSI.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enviar os dados e direcioná-los para o lugar correto de envio.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25:00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LibreOffice/24.2.7.2$Linux_X86_64 LibreOffice_project/420$Build-2</Application>
  <AppVersion>15.0000</AppVersion>
  <Pages>16</Pages>
  <Words>3153</Words>
  <Characters>16895</Characters>
  <CharactersWithSpaces>19799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2025-03-13T09:37:45Z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