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2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possíveis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4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6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6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5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>
          <w:b/>
          <w:bCs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Para evitar esse tipo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spacing w:before="280" w:after="280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Modos de comunicação:</w:t>
      </w:r>
    </w:p>
    <w:p>
      <w:pPr>
        <w:pStyle w:val="Normal"/>
        <w:widowControl/>
        <w:suppressLineNumbers w:val="0"/>
        <w:spacing w:before="280" w:after="280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 xml:space="preserve">Nesse tópico abordaremos o que são modos de comunicação, que são a maneira, e o como os dispositivos trocam informações e se comunicacam entre eles em uma rede de internet. Esses modos funcionam na Camada 2 do modelo OSI;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. Existem basicamente 4 modos de comunicação, sendo…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 xml:space="preserve">Unicast, Multicast, Broadcast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widowControl/>
        <w:suppressLineNumbers w:val="0"/>
        <w:tabs>
          <w:tab w:val="clear" w:pos="708"/>
          <w:tab w:val="left" w:pos="1064" w:leader="none"/>
        </w:tabs>
        <w:spacing w:before="280" w:after="280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UNICAST — Comunicação “um para um”: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Esse é o modo de comunicação mais usado em comunicação em redes, sendo também o mais simples.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>Aqui os dados são enviados de um dispositivo para o outro de forma direta, onde o dispositivo envia um terminado pacote de dados diretamente para o remetente identificado pelo seu endereço IP ou endereço MAC de destino.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Um exemplo seria o envio de email. Você envia o email diretamente para um servidor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SMTP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(Simple Mail Transfer Protocol)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.</w:t>
      </w:r>
    </w:p>
    <w:p>
      <w:pPr>
        <w:pStyle w:val="Heading2"/>
        <w:rPr/>
      </w:pPr>
      <w:r>
        <w:rPr/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BROADCAST — Comunicação “um para todos”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Aqui o dispositivo envia um dado e ele é transmitido para todos os dispositivos conectados naquela rede local. Todos recebem os dados mesmo que não tenham solicitado.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comumente usado onde um dispositivo quer descobrir o endereço MAC ou endereço IP de um determinado dispositivo na rede local. Ele basicamente pergunta ao switche e este distribuí a todos. O dispositivo que tiver o IP retorna a resposta.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  <w:t>MULTICAST — Comunicação “um para muitos (selecionados)”:</w:t>
      </w:r>
    </w:p>
    <w:p>
      <w:pPr>
        <w:pStyle w:val="BodyText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Esse tipo de comunicação é um intermediário entre o Unicast e o Brodcast, pois aqui os dados são enviados para todos, porém todos os que tiverem inscritos naquele dado que está sendo enviado.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Um dispositivo basicamente envia os dados para um endereço multicast. Os dispositivos que querem receber aquele dado se inscrevem naquele grupo por meio do procolo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IGMP (Internet Group Managment Protocol)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por exemplo, e então os dados são enviados somente para esses.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2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>Anycast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— Comunicação "1 para o mais próximo":</w:t>
      </w:r>
    </w:p>
    <w:p>
      <w:pPr>
        <w:pStyle w:val="Normal"/>
        <w:rPr/>
      </w:pPr>
      <w:r>
        <w:rPr>
          <w:rStyle w:val="Cdigo-fonte"/>
          <w:b w:val="false"/>
          <w:bCs w:val="false"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Esse modo de comunicação é bem parecido com o modo Unicast, pois aqui a comunicação também funciona 1:1, porém o dado é enviado para dispositivo mais próximo. Quem determina qual dispositivo está mais próximo é roteador. Esse modo de comunicação é amplamente usado em redes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WAN (Wide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ou redes a longa distância.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ab/>
        <w:t>Um exemplo prático desse modo seria o uso de servidores DNS ao enviar uma requisição para o nevegador, você será atendido pelo servidor mais próximo, gerando baixa latência na entrega e alta disponibilidade dos dados.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Ethernet II:</w:t>
      </w:r>
    </w:p>
    <w:p>
      <w:pPr>
        <w:pStyle w:val="Normal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Ethernet II é um protocolo da Camada 2 do modelo OSI, 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, usado para enviar pacotes para dispositivos em uma rede local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  <w:lang w:val="pt-BR"/>
        </w:rPr>
        <w:t>LAN (Local Area Network)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  <w:lang w:val="pt-BR"/>
        </w:rPr>
        <w:t>. Esse é sem dúvidas o protocolo mais utilizado nos dias atuais quando se trata de rede local LAN.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sz w:val="24"/>
          <w:szCs w:val="24"/>
        </w:rPr>
        <w:tab/>
        <w:t xml:space="preserve">Sua estrutura contém 7 quadrados, sendo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Preâmbulo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SFD (Start Frame Delimiter)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Destino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Endereço MAC  de Origem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Type (Tipo de Protocolo)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Payload (Dados)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FCS (Frame Check Sequence)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Vamos entender melhor um a um: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1. Preâmbulo (7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basicamente uma sequência de de bits que vem antes do ínicio do quadro, é como se fosse um aquencimento para a comunicação entre os dispositivos.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Este quadro serve como um sinal de aviso para os switches e placas de rede que dados serão transmitidos ali. Esses 7 bytes que ele carrega não tem uma informação propriamente dita, sendo apenas um aviso de preparação dos dados que serão enviados.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2. SDF (Start Frame Delimiter) (1 byte):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que começa a transmissão dos dados, ele envia a mesma sequência do preâmbulo, porém com mais um byte de valor 1 no final indicando que a transmissão começou.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3. Endereço MAC de Destino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cujo receberá o dado enviado.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4. Endereço MAC de Origem (6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É o endereço da placa de rede do dispositivo que fará o envio dos dados.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5. Type (Tipo de Protocolo) (2 bytes):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Aqui é enviado qual o formato do protocolo que está sendo enviado, se é IPv4, IPv6 ou ARP (Adress Resolution Protocol) que é o protocolo comumente usado para descobrir qual dispositivo tem o exato endereço MAC por meio de um IP.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Se na definição do tipo o valor for menor que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0x600 (1536 em decimal)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protocolo pode ser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IEE 802.3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que é um protocolo mais antigo.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6. Payload (Dados) (46 – 1500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São os dados que serão transmitidos. Aqui os dados precisam ter no mínimo 46 bytes. Caso sejam menores que 46 bytes é acrecentado valores 0. Isso é feito para evitar problemas na detecção de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Caso os dados passem de 1500 bytes é necessário fazer a fragmentação desses dados ou usar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Jumbo Frames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 geralmente usados em Datacenters por exemplo.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7. FCS (Frame Check Sequence) (4 bytes):</w:t>
      </w:r>
    </w:p>
    <w:p>
      <w:pPr>
        <w:pStyle w:val="Normal"/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ab/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uma sequência de bits gerado por um algoritmo chamado 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CRC (Cyclic Redundancy Check)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>usado para verificar se os dados chegaram corretamente até o dispositivo de destino.</w:t>
      </w:r>
    </w:p>
    <w:p>
      <w:pPr>
        <w:pStyle w:val="Normal"/>
        <w:rPr/>
      </w:pPr>
      <w:r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Caso os valores não foram condizentes com o valor enviado no dispositivo de origem, os pacotes serão descartados.</w:t>
      </w:r>
    </w:p>
    <w:p>
      <w:pPr>
        <w:pStyle w:val="Normal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Heading1"/>
        <w:spacing w:before="240" w:after="120"/>
        <w:rPr>
          <w:rStyle w:val="Strong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7"/>
    <w:lvlOverride w:ilvl="0">
      <w:startOverride w:val="1"/>
    </w:lvlOverride>
  </w:num>
  <w:num w:numId="36">
    <w:abstractNumId w:val="27"/>
  </w:num>
  <w:num w:numId="37">
    <w:abstractNumId w:val="27"/>
  </w:num>
  <w:num w:numId="38">
    <w:abstractNumId w:val="27"/>
  </w:num>
  <w:num w:numId="39">
    <w:abstractNumId w:val="27"/>
  </w:num>
  <w:num w:numId="40">
    <w:abstractNumId w:val="27"/>
  </w:num>
  <w:num w:numId="41">
    <w:abstractNumId w:val="27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left="567" w:right="567"/>
    </w:pPr>
    <w:rPr/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LibreOffice/24.2.7.2$Linux_X86_64 LibreOffice_project/420$Build-2</Application>
  <AppVersion>15.0000</AppVersion>
  <Pages>22</Pages>
  <Words>4849</Words>
  <Characters>25579</Characters>
  <CharactersWithSpaces>30158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2025-05-08T11:15:26Z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