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69EC33" w:rsidR="004A2A50" w:rsidRDefault="00EA31DE">
      <w:pPr>
        <w:pStyle w:val="versao"/>
        <w:rPr>
          <w:sz w:val="24"/>
        </w:rPr>
      </w:pPr>
      <w:r>
        <w:rPr>
          <w:sz w:val="24"/>
        </w:rPr>
        <w:t xml:space="preserve">Versão </w:t>
      </w:r>
      <w:r w:rsidR="007074F9">
        <w:rPr>
          <w:sz w:val="24"/>
        </w:rPr>
        <w:t>2.4</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ECDE7B8"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1C3F6B51"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4804C45D" w14:textId="77777777" w:rsidR="007074F9" w:rsidRDefault="007074F9">
            <w:pPr>
              <w:pStyle w:val="Tabletext"/>
              <w:snapToGrid w:val="0"/>
              <w:spacing w:after="0"/>
              <w:rPr>
                <w:sz w:val="22"/>
                <w:lang w:val="pt-BR"/>
              </w:rPr>
            </w:pP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0040D5">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0040D5">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0040D5">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0040D5">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0040D5">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0040D5">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0040D5">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0040D5">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0040D5">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 xml:space="preserve">Modelagem do Processo:  </w:t>
      </w:r>
      <w:r w:rsidR="00445800">
        <w:rPr>
          <w:rFonts w:ascii="Arial" w:hAnsi="Arial" w:cs="Arial"/>
          <w:sz w:val="22"/>
        </w:rPr>
        <w:t xml:space="preserve">modelagem de todos os processos da aplicação </w:t>
      </w:r>
      <w:r w:rsidR="00445800">
        <w:rPr>
          <w:rFonts w:ascii="Arial" w:hAnsi="Arial" w:cs="Arial"/>
          <w:b/>
          <w:sz w:val="22"/>
        </w:rPr>
        <w:t>WhatsHappy</w:t>
      </w:r>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Convenções, termos e abreviações</w:t>
      </w:r>
      <w:bookmarkEnd w:id="3"/>
      <w:bookmarkEnd w:id="4"/>
      <w:bookmarkEnd w:id="5"/>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depressão.[1].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1" w:name="_Toc34746312"/>
      <w:bookmarkStart w:id="32" w:name="_Toc39855695"/>
      <w:bookmarkStart w:id="33" w:name="_Toc40877135"/>
      <w:r>
        <w:t>Modelagem do processo de negócio</w:t>
      </w:r>
      <w:bookmarkEnd w:id="31"/>
      <w:bookmarkEnd w:id="32"/>
      <w:bookmarkEnd w:id="33"/>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lastRenderedPageBreak/>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2F441A">
        <w:rPr>
          <w:noProof/>
        </w:rPr>
        <w:t>11</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247F61DC"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constituído das </w:t>
            </w:r>
            <w:r>
              <w:rPr>
                <w:rFonts w:ascii="Arial" w:hAnsi="Arial" w:cs="Arial"/>
                <w:i w:val="0"/>
                <w:sz w:val="18"/>
                <w:szCs w:val="18"/>
              </w:rPr>
              <w:lastRenderedPageBreak/>
              <w:t>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triste</w:t>
            </w:r>
          </w:p>
          <w:p w14:paraId="538B490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triste</w:t>
            </w:r>
          </w:p>
          <w:p w14:paraId="217DAB3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triste</w:t>
            </w:r>
          </w:p>
          <w:p w14:paraId="6D1E7D8D"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apático</w:t>
            </w:r>
          </w:p>
          <w:p w14:paraId="45C36DE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um pouco feliz</w:t>
            </w:r>
          </w:p>
          <w:p w14:paraId="755B1A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indisposto</w:t>
            </w:r>
          </w:p>
          <w:p w14:paraId="79BE171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indisposto</w:t>
            </w:r>
          </w:p>
          <w:p w14:paraId="0C88484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disposto</w:t>
            </w:r>
          </w:p>
          <w:p w14:paraId="6348FE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disposto</w:t>
            </w:r>
          </w:p>
          <w:p w14:paraId="025FA9A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muito disposto</w:t>
            </w:r>
          </w:p>
          <w:p w14:paraId="2AFC9EAC"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679A795E"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2C2EF74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irritável</w:t>
            </w:r>
          </w:p>
          <w:p w14:paraId="20D0F00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0A950DD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de bom humor</w:t>
            </w:r>
          </w:p>
          <w:p w14:paraId="7EE69C9B" w14:textId="1340CE05" w:rsid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1" w:name="__RefHeading___Toc175024561"/>
      <w:bookmarkStart w:id="42" w:name="_Toc40877137"/>
      <w:bookmarkEnd w:id="41"/>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2"/>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B57A98">
        <w:tc>
          <w:tcPr>
            <w:tcW w:w="828" w:type="dxa"/>
            <w:tcBorders>
              <w:top w:val="single" w:sz="4" w:space="0" w:color="auto"/>
              <w:bottom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bottom w:val="single" w:sz="4" w:space="0" w:color="auto"/>
            </w:tcBorders>
          </w:tcPr>
          <w:p w14:paraId="08C08E91" w14:textId="0A4889AE" w:rsidR="00C71DA9" w:rsidRDefault="00C71DA9" w:rsidP="00AE53AF">
            <w:pPr>
              <w:pStyle w:val="Textbody"/>
              <w:jc w:val="left"/>
              <w:rPr>
                <w:rFonts w:ascii="Arial" w:hAnsi="Arial" w:cs="Arial"/>
                <w:i w:val="0"/>
                <w:sz w:val="18"/>
                <w:szCs w:val="18"/>
              </w:rPr>
            </w:pPr>
            <w:r>
              <w:rPr>
                <w:rFonts w:ascii="Arial" w:hAnsi="Arial" w:cs="Arial"/>
                <w:i w:val="0"/>
                <w:sz w:val="18"/>
                <w:szCs w:val="18"/>
              </w:rPr>
              <w:t>Será utilizadas as seguintes linguagem de programação e marcação: TypeScript, HTML, SCSS</w:t>
            </w:r>
          </w:p>
        </w:tc>
        <w:tc>
          <w:tcPr>
            <w:tcW w:w="270" w:type="dxa"/>
            <w:tcBorders>
              <w:top w:val="single" w:sz="4" w:space="0" w:color="auto"/>
              <w:bottom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r w:rsidR="00B57A98" w:rsidRPr="00425ABF" w14:paraId="38E16AE0" w14:textId="77777777" w:rsidTr="008736A2">
        <w:tc>
          <w:tcPr>
            <w:tcW w:w="828" w:type="dxa"/>
            <w:tcBorders>
              <w:top w:val="single" w:sz="4" w:space="0" w:color="auto"/>
            </w:tcBorders>
          </w:tcPr>
          <w:p w14:paraId="768A4D68" w14:textId="77777777" w:rsidR="00B57A98" w:rsidRDefault="00B57A98"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32C87C67" w14:textId="017E5FF9" w:rsidR="00B57A98" w:rsidRDefault="00B57A98" w:rsidP="00FA116B">
            <w:pPr>
              <w:pStyle w:val="Textbody"/>
              <w:rPr>
                <w:rFonts w:ascii="Arial" w:hAnsi="Arial" w:cs="Arial"/>
                <w:i w:val="0"/>
                <w:sz w:val="18"/>
                <w:szCs w:val="18"/>
              </w:rPr>
            </w:pPr>
            <w:r>
              <w:rPr>
                <w:rFonts w:ascii="Arial" w:hAnsi="Arial" w:cs="Arial"/>
                <w:i w:val="0"/>
                <w:sz w:val="18"/>
                <w:szCs w:val="18"/>
              </w:rPr>
              <w:t>Armazenamento de áudio</w:t>
            </w:r>
          </w:p>
        </w:tc>
        <w:tc>
          <w:tcPr>
            <w:tcW w:w="5220" w:type="dxa"/>
            <w:tcBorders>
              <w:top w:val="single" w:sz="4" w:space="0" w:color="auto"/>
            </w:tcBorders>
          </w:tcPr>
          <w:p w14:paraId="50594B5E" w14:textId="0E1ACE6B" w:rsidR="00B57A98" w:rsidRDefault="00B57A98" w:rsidP="00AE53AF">
            <w:pPr>
              <w:pStyle w:val="Textbody"/>
              <w:jc w:val="left"/>
              <w:rPr>
                <w:rFonts w:ascii="Arial" w:hAnsi="Arial" w:cs="Arial"/>
                <w:i w:val="0"/>
                <w:sz w:val="18"/>
                <w:szCs w:val="18"/>
              </w:rPr>
            </w:pPr>
            <w:r>
              <w:rPr>
                <w:rFonts w:ascii="Arial" w:hAnsi="Arial" w:cs="Arial"/>
                <w:i w:val="0"/>
                <w:sz w:val="18"/>
                <w:szCs w:val="18"/>
              </w:rPr>
              <w:t>O áudio será armazenado no storage do Firebase</w:t>
            </w:r>
          </w:p>
        </w:tc>
        <w:tc>
          <w:tcPr>
            <w:tcW w:w="270" w:type="dxa"/>
            <w:tcBorders>
              <w:top w:val="single" w:sz="4" w:space="0" w:color="auto"/>
            </w:tcBorders>
          </w:tcPr>
          <w:p w14:paraId="0CAD27B9" w14:textId="356D8CF4" w:rsidR="00B57A98" w:rsidRDefault="00B57A98" w:rsidP="00AE53AF">
            <w:pPr>
              <w:pStyle w:val="Textbody"/>
              <w:jc w:val="center"/>
              <w:rPr>
                <w:rFonts w:ascii="Arial" w:hAnsi="Arial" w:cs="Arial"/>
                <w:b/>
                <w:i w:val="0"/>
                <w:sz w:val="18"/>
                <w:szCs w:val="18"/>
              </w:rPr>
            </w:pPr>
            <w:r>
              <w:rPr>
                <w:rFonts w:ascii="Arial" w:hAnsi="Arial" w:cs="Arial"/>
                <w:b/>
                <w:i w:val="0"/>
                <w:sz w:val="18"/>
                <w:szCs w:val="18"/>
              </w:rPr>
              <w:t>X</w:t>
            </w:r>
            <w:bookmarkStart w:id="43" w:name="_GoBack"/>
            <w:bookmarkEnd w:id="43"/>
          </w:p>
        </w:tc>
        <w:tc>
          <w:tcPr>
            <w:tcW w:w="270" w:type="dxa"/>
            <w:tcBorders>
              <w:top w:val="single" w:sz="4" w:space="0" w:color="auto"/>
            </w:tcBorders>
          </w:tcPr>
          <w:p w14:paraId="69D99E20" w14:textId="77777777" w:rsidR="00B57A98" w:rsidRPr="00425ABF" w:rsidRDefault="00B57A98" w:rsidP="00AE53AF">
            <w:pPr>
              <w:pStyle w:val="Textbody"/>
              <w:jc w:val="center"/>
              <w:rPr>
                <w:rFonts w:ascii="Arial" w:hAnsi="Arial" w:cs="Arial"/>
                <w:b/>
                <w:i w:val="0"/>
                <w:sz w:val="18"/>
                <w:szCs w:val="18"/>
              </w:rPr>
            </w:pPr>
          </w:p>
        </w:tc>
        <w:tc>
          <w:tcPr>
            <w:tcW w:w="270" w:type="dxa"/>
            <w:tcBorders>
              <w:top w:val="single" w:sz="4" w:space="0" w:color="auto"/>
            </w:tcBorders>
          </w:tcPr>
          <w:p w14:paraId="5C941B1F" w14:textId="77777777" w:rsidR="00B57A98" w:rsidRPr="00425ABF" w:rsidRDefault="00B57A98"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4" w:name="_Toc40877138"/>
      <w:r>
        <w:t>Modelo Conceitual do Banco de Dados</w:t>
      </w:r>
      <w:bookmarkEnd w:id="44"/>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DB716B">
        <w:rPr>
          <w:noProof/>
        </w:rPr>
        <w:t>12</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5" w:name="_Toc40877139"/>
      <w:r>
        <w:lastRenderedPageBreak/>
        <w:t>Modelo Lógico do Banco de Dados</w:t>
      </w:r>
      <w:bookmarkEnd w:id="45"/>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13</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6" w:name="_Toc40877140"/>
      <w:r>
        <w:lastRenderedPageBreak/>
        <w:t>Arquitetura da Aplicação</w:t>
      </w:r>
      <w:bookmarkEnd w:id="46"/>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WhatsHappy será desenvolvido em Angular e como base de dados será utilizado o Firebase.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D2D91">
        <w:rPr>
          <w:noProof/>
        </w:rPr>
        <w:t>14</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(Github Pages).</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Para armazenamento dos dados será utilizado o Firebase.</w:t>
      </w:r>
      <w:r w:rsidR="0006213A">
        <w:rPr>
          <w:rFonts w:ascii="Arial" w:eastAsia="Times New Roman" w:hAnsi="Arial" w:cs="Arial"/>
          <w:iCs/>
          <w:sz w:val="22"/>
          <w:szCs w:val="20"/>
          <w:lang w:bidi="ar-SA"/>
        </w:rPr>
        <w:t xml:space="preserve"> A Figura 15 apresenta o modelo de implantação do WhatsHappy</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6">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15</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Em relação a “Entrega da Versão 1”,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2"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3"/>
      <w:footerReference w:type="default" r:id="rId34"/>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B92F12" w:rsidRDefault="00B92F12">
      <w:pPr>
        <w:pStyle w:val="Textodecomentrio"/>
      </w:pPr>
      <w:r>
        <w:rPr>
          <w:rStyle w:val="Refdecomentrio"/>
        </w:rPr>
        <w:annotationRef/>
      </w:r>
      <w:r>
        <w:t>Vamos limitar qtd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F1BE1" w14:textId="77777777" w:rsidR="000040D5" w:rsidRDefault="000040D5">
      <w:r>
        <w:separator/>
      </w:r>
    </w:p>
  </w:endnote>
  <w:endnote w:type="continuationSeparator" w:id="0">
    <w:p w14:paraId="17BEE3C4" w14:textId="77777777" w:rsidR="000040D5" w:rsidRDefault="0000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B57A98">
            <w:rPr>
              <w:noProof/>
            </w:rPr>
            <w:t>19</w:t>
          </w:r>
          <w:r>
            <w:fldChar w:fldCharType="end"/>
          </w:r>
          <w:r>
            <w:t xml:space="preserve"> de </w:t>
          </w:r>
          <w:r>
            <w:fldChar w:fldCharType="begin"/>
          </w:r>
          <w:r>
            <w:instrText>NUMPAGES</w:instrText>
          </w:r>
          <w:r>
            <w:fldChar w:fldCharType="separate"/>
          </w:r>
          <w:r w:rsidR="00B57A98">
            <w:rPr>
              <w:noProof/>
            </w:rPr>
            <w:t>30</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E033E" w14:textId="77777777" w:rsidR="000040D5" w:rsidRDefault="000040D5">
      <w:r>
        <w:separator/>
      </w:r>
    </w:p>
  </w:footnote>
  <w:footnote w:type="continuationSeparator" w:id="0">
    <w:p w14:paraId="1D58E7FB" w14:textId="77777777" w:rsidR="000040D5" w:rsidRDefault="00004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040D5"/>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475A"/>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57A98"/>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veja.abril.com.br/saude/pesquisa-indica-que-86-dos-brasileiros-tem-algum-transtorno-mental/"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10.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EB97-DD6C-4FCB-8541-AD1CE90E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30</Pages>
  <Words>3850</Words>
  <Characters>20791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320</cp:revision>
  <cp:lastPrinted>2020-05-11T20:43:00Z</cp:lastPrinted>
  <dcterms:created xsi:type="dcterms:W3CDTF">2020-05-11T20:40:00Z</dcterms:created>
  <dcterms:modified xsi:type="dcterms:W3CDTF">2020-05-22T21:28:00Z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